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A8D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p>
    <w:p w14:paraId="6CA79E31">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14:paraId="6319B0DE">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行政执法事项目录清单</w:t>
      </w:r>
    </w:p>
    <w:p w14:paraId="1BA741EE">
      <w:pPr>
        <w:jc w:val="left"/>
        <w:rPr>
          <w:rFonts w:hint="eastAsia" w:ascii="仿宋" w:hAnsi="仿宋" w:eastAsia="仿宋" w:cs="仿宋"/>
          <w:sz w:val="32"/>
          <w:szCs w:val="32"/>
          <w:lang w:val="en-US" w:eastAsia="zh-CN"/>
        </w:rPr>
      </w:pPr>
    </w:p>
    <w:p w14:paraId="74B4FE8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填报单位（盖章）：                            主要负责人签字：</w:t>
      </w:r>
    </w:p>
    <w:p w14:paraId="59674137">
      <w:pPr>
        <w:jc w:val="left"/>
        <w:rPr>
          <w:rFonts w:hint="eastAsia" w:ascii="仿宋" w:hAnsi="仿宋" w:eastAsia="仿宋" w:cs="仿宋"/>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2408"/>
        <w:gridCol w:w="1507"/>
        <w:gridCol w:w="4110"/>
        <w:gridCol w:w="1560"/>
        <w:gridCol w:w="1530"/>
        <w:gridCol w:w="931"/>
      </w:tblGrid>
      <w:tr w14:paraId="6D16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26" w:type="dxa"/>
            <w:vAlign w:val="center"/>
          </w:tcPr>
          <w:p w14:paraId="4152D32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408" w:type="dxa"/>
            <w:vAlign w:val="center"/>
          </w:tcPr>
          <w:p w14:paraId="08240D24">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事项名称</w:t>
            </w:r>
          </w:p>
        </w:tc>
        <w:tc>
          <w:tcPr>
            <w:tcW w:w="1507" w:type="dxa"/>
            <w:vAlign w:val="center"/>
          </w:tcPr>
          <w:p w14:paraId="3915818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事项类型</w:t>
            </w:r>
          </w:p>
        </w:tc>
        <w:tc>
          <w:tcPr>
            <w:tcW w:w="4110" w:type="dxa"/>
            <w:vAlign w:val="center"/>
          </w:tcPr>
          <w:p w14:paraId="63DC84CE">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事项依据</w:t>
            </w:r>
          </w:p>
        </w:tc>
        <w:tc>
          <w:tcPr>
            <w:tcW w:w="1560" w:type="dxa"/>
            <w:vAlign w:val="center"/>
          </w:tcPr>
          <w:p w14:paraId="507C2F1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责任主体</w:t>
            </w:r>
          </w:p>
        </w:tc>
        <w:tc>
          <w:tcPr>
            <w:tcW w:w="1530" w:type="dxa"/>
            <w:vAlign w:val="center"/>
          </w:tcPr>
          <w:p w14:paraId="595E6B35">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实施主体</w:t>
            </w:r>
          </w:p>
        </w:tc>
        <w:tc>
          <w:tcPr>
            <w:tcW w:w="931" w:type="dxa"/>
            <w:vAlign w:val="center"/>
          </w:tcPr>
          <w:p w14:paraId="2752CAB7">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5F53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26" w:type="dxa"/>
            <w:vAlign w:val="center"/>
          </w:tcPr>
          <w:p w14:paraId="27AF774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408" w:type="dxa"/>
            <w:vAlign w:val="center"/>
          </w:tcPr>
          <w:p w14:paraId="3B01E9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对从事节能咨询、设计、评估、检测、审计、认证等服务的机构提供虚假信息的处罚</w:t>
            </w:r>
          </w:p>
        </w:tc>
        <w:tc>
          <w:tcPr>
            <w:tcW w:w="1507" w:type="dxa"/>
            <w:vAlign w:val="center"/>
          </w:tcPr>
          <w:p w14:paraId="45A453A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3FFE96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w:t>
            </w:r>
            <w:r>
              <w:rPr>
                <w:rFonts w:hint="eastAsia" w:ascii="宋体" w:hAnsi="宋体" w:eastAsia="宋体" w:cs="宋体"/>
                <w:i w:val="0"/>
                <w:iCs w:val="0"/>
                <w:color w:val="000000"/>
                <w:kern w:val="0"/>
                <w:sz w:val="20"/>
                <w:szCs w:val="20"/>
                <w:u w:val="none"/>
                <w:lang w:val="en-US" w:eastAsia="zh-CN" w:bidi="ar"/>
              </w:rPr>
              <w:br w:type="textWrapping"/>
            </w:r>
            <w:bookmarkStart w:id="0" w:name="OLE_LINK2"/>
            <w:r>
              <w:rPr>
                <w:rFonts w:hint="eastAsia" w:ascii="宋体" w:hAnsi="宋体" w:eastAsia="宋体" w:cs="宋体"/>
                <w:i w:val="0"/>
                <w:iCs w:val="0"/>
                <w:color w:val="000000"/>
                <w:kern w:val="0"/>
                <w:sz w:val="20"/>
                <w:szCs w:val="20"/>
                <w:u w:val="none"/>
                <w:lang w:val="en-US" w:eastAsia="zh-CN" w:bidi="ar"/>
              </w:rPr>
              <w:t>《中华人民共和国节约能源法》</w:t>
            </w:r>
            <w:bookmarkEnd w:id="0"/>
            <w:r>
              <w:rPr>
                <w:rFonts w:hint="eastAsia" w:ascii="宋体" w:hAnsi="宋体" w:eastAsia="宋体" w:cs="宋体"/>
                <w:i w:val="0"/>
                <w:iCs w:val="0"/>
                <w:color w:val="000000"/>
                <w:kern w:val="0"/>
                <w:sz w:val="20"/>
                <w:szCs w:val="20"/>
                <w:u w:val="none"/>
                <w:lang w:val="en-US" w:eastAsia="zh-CN" w:bidi="ar"/>
              </w:rPr>
              <w:t>第七十六条从事节能咨询、设计、评估、检测、审计、认证等服务的机构提供虚假信息的，由管理节能工作的部门责令改正，没收违法所得，并处五万元以上十万元以下罚款。</w:t>
            </w:r>
          </w:p>
          <w:p w14:paraId="35F201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1560" w:type="dxa"/>
            <w:vAlign w:val="center"/>
          </w:tcPr>
          <w:p w14:paraId="28D2BF6F">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7565FB6">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3BD59AD0">
            <w:pPr>
              <w:jc w:val="center"/>
              <w:rPr>
                <w:rFonts w:hint="eastAsia" w:ascii="仿宋" w:hAnsi="仿宋" w:eastAsia="仿宋" w:cs="仿宋"/>
                <w:sz w:val="32"/>
                <w:szCs w:val="32"/>
                <w:vertAlign w:val="baseline"/>
                <w:lang w:val="en-US" w:eastAsia="zh-CN"/>
              </w:rPr>
            </w:pPr>
          </w:p>
        </w:tc>
      </w:tr>
      <w:tr w14:paraId="5A1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926" w:type="dxa"/>
            <w:vAlign w:val="center"/>
          </w:tcPr>
          <w:p w14:paraId="0BF84FA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408" w:type="dxa"/>
            <w:vAlign w:val="center"/>
          </w:tcPr>
          <w:p w14:paraId="298066B3">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对重点用能单位未按规定报送能源利用状况报告或者报告内容不实行为的行政处罚</w:t>
            </w:r>
          </w:p>
        </w:tc>
        <w:tc>
          <w:tcPr>
            <w:tcW w:w="1507" w:type="dxa"/>
            <w:vAlign w:val="center"/>
          </w:tcPr>
          <w:p w14:paraId="6FDBAAD1">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4F932E87">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《中华人民共和国节约能源法》第八十二条 重点用能单位未按照本法规定报送能源利用状况报告或者报告内容不实的，由管理节能工作的部门责令限期改正；逾期不改正的，处一万元以上五万元以下罚款。</w:t>
            </w:r>
          </w:p>
        </w:tc>
        <w:tc>
          <w:tcPr>
            <w:tcW w:w="1560" w:type="dxa"/>
            <w:vAlign w:val="center"/>
          </w:tcPr>
          <w:p w14:paraId="1150B630">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1DC88825">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5817B530">
            <w:pPr>
              <w:jc w:val="center"/>
              <w:rPr>
                <w:rFonts w:hint="eastAsia" w:ascii="仿宋" w:hAnsi="仿宋" w:eastAsia="仿宋" w:cs="仿宋"/>
                <w:sz w:val="32"/>
                <w:szCs w:val="32"/>
                <w:vertAlign w:val="baseline"/>
                <w:lang w:val="en-US" w:eastAsia="zh-CN"/>
              </w:rPr>
            </w:pPr>
          </w:p>
        </w:tc>
      </w:tr>
      <w:tr w14:paraId="5763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26" w:type="dxa"/>
            <w:vAlign w:val="center"/>
          </w:tcPr>
          <w:p w14:paraId="0FF7839A">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408" w:type="dxa"/>
            <w:vAlign w:val="center"/>
          </w:tcPr>
          <w:p w14:paraId="2383B2FA">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对重点用能单位未按规定设立能源管理岗位，聘任能源管理负责人，并报管理节能工作的部门和有关部门备案的处罚</w:t>
            </w:r>
          </w:p>
        </w:tc>
        <w:tc>
          <w:tcPr>
            <w:tcW w:w="1507" w:type="dxa"/>
            <w:vAlign w:val="center"/>
          </w:tcPr>
          <w:p w14:paraId="51834673">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7840CE5F">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【法律】《中华人民共和国节约能源法》第八十四条 重点用能单位未按照本法规定设立能源管理岗位，聘任能源管理负责人，并报管理节能工作的部门和有关部门备案的，由管理节能工作的部门责令改正；拒不改正的，处一万元以上三万元以下罚款。</w:t>
            </w:r>
          </w:p>
        </w:tc>
        <w:tc>
          <w:tcPr>
            <w:tcW w:w="1560" w:type="dxa"/>
            <w:vAlign w:val="center"/>
          </w:tcPr>
          <w:p w14:paraId="3B768583">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16F3ED28">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1FE09E6">
            <w:pPr>
              <w:jc w:val="center"/>
              <w:rPr>
                <w:rFonts w:hint="eastAsia" w:ascii="仿宋" w:hAnsi="仿宋" w:eastAsia="仿宋" w:cs="仿宋"/>
                <w:sz w:val="32"/>
                <w:szCs w:val="32"/>
                <w:vertAlign w:val="baseline"/>
                <w:lang w:val="en-US" w:eastAsia="zh-CN"/>
              </w:rPr>
            </w:pPr>
          </w:p>
        </w:tc>
      </w:tr>
      <w:tr w14:paraId="4B63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926" w:type="dxa"/>
            <w:vAlign w:val="center"/>
          </w:tcPr>
          <w:p w14:paraId="053CA996">
            <w:pPr>
              <w:keepNext w:val="0"/>
              <w:keepLines w:val="0"/>
              <w:pageBreakBefore w:val="0"/>
              <w:kinsoku/>
              <w:wordWrap/>
              <w:overflowPunct/>
              <w:topLinePunct w:val="0"/>
              <w:autoSpaceDE/>
              <w:autoSpaceDN/>
              <w:bidi w:val="0"/>
              <w:adjustRightInd/>
              <w:snapToGrid/>
              <w:spacing w:line="192" w:lineRule="auto"/>
              <w:jc w:val="center"/>
              <w:rPr>
                <w:rFonts w:hint="default" w:ascii="仿宋" w:hAnsi="仿宋" w:eastAsia="仿宋" w:cs="仿宋"/>
                <w:sz w:val="18"/>
                <w:szCs w:val="18"/>
                <w:vertAlign w:val="baseline"/>
                <w:lang w:val="en-US" w:eastAsia="zh-CN"/>
              </w:rPr>
            </w:pPr>
            <w:r>
              <w:rPr>
                <w:rFonts w:hint="eastAsia" w:ascii="仿宋" w:hAnsi="仿宋" w:eastAsia="仿宋" w:cs="仿宋"/>
                <w:sz w:val="32"/>
                <w:szCs w:val="32"/>
                <w:vertAlign w:val="baseline"/>
                <w:lang w:val="en-US" w:eastAsia="zh-CN"/>
              </w:rPr>
              <w:t>4</w:t>
            </w:r>
          </w:p>
        </w:tc>
        <w:tc>
          <w:tcPr>
            <w:tcW w:w="2408" w:type="dxa"/>
            <w:vAlign w:val="center"/>
          </w:tcPr>
          <w:p w14:paraId="154C52C8">
            <w:pPr>
              <w:keepNext w:val="0"/>
              <w:keepLines w:val="0"/>
              <w:pageBreakBefore w:val="0"/>
              <w:widowControl/>
              <w:suppressLineNumbers w:val="0"/>
              <w:kinsoku/>
              <w:wordWrap/>
              <w:overflowPunct/>
              <w:topLinePunct w:val="0"/>
              <w:autoSpaceDE/>
              <w:autoSpaceDN/>
              <w:bidi w:val="0"/>
              <w:adjustRightInd/>
              <w:snapToGrid/>
              <w:spacing w:line="192" w:lineRule="auto"/>
              <w:jc w:val="center"/>
              <w:textAlignment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对生产单位超过单位产品能耗限额标准用能行为的行政处罚</w:t>
            </w:r>
          </w:p>
        </w:tc>
        <w:tc>
          <w:tcPr>
            <w:tcW w:w="1507" w:type="dxa"/>
            <w:vAlign w:val="center"/>
          </w:tcPr>
          <w:p w14:paraId="023B9F84">
            <w:pPr>
              <w:keepNext w:val="0"/>
              <w:keepLines w:val="0"/>
              <w:pageBreakBefore w:val="0"/>
              <w:kinsoku/>
              <w:wordWrap/>
              <w:overflowPunct/>
              <w:topLinePunct w:val="0"/>
              <w:autoSpaceDE/>
              <w:autoSpaceDN/>
              <w:bidi w:val="0"/>
              <w:adjustRightInd/>
              <w:snapToGrid/>
              <w:spacing w:line="192" w:lineRule="auto"/>
              <w:jc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行政处罚</w:t>
            </w:r>
          </w:p>
        </w:tc>
        <w:tc>
          <w:tcPr>
            <w:tcW w:w="4110" w:type="dxa"/>
            <w:vAlign w:val="center"/>
          </w:tcPr>
          <w:p w14:paraId="769149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中华人民共和国节约能源法》第七十二条对生产单位超过单位产品能耗限额标准用能，情节严重，经限期治理逾期不治理或者没有达到治理要求的处罚，可以由管理节能工作的部门提出意见，报请本级人民政府按照国务院规定的权限责令停业整顿或者关闭。</w:t>
            </w:r>
            <w:r>
              <w:rPr>
                <w:rFonts w:hint="eastAsia" w:ascii="宋体" w:hAnsi="宋体" w:eastAsia="宋体" w:cs="宋体"/>
                <w:i w:val="0"/>
                <w:iCs w:val="0"/>
                <w:color w:val="000000"/>
                <w:kern w:val="0"/>
                <w:sz w:val="18"/>
                <w:szCs w:val="18"/>
                <w:u w:val="none"/>
                <w:lang w:val="en-US" w:eastAsia="zh-CN" w:bidi="ar"/>
              </w:rPr>
              <w:br w:type="textWrapping"/>
            </w:r>
          </w:p>
        </w:tc>
        <w:tc>
          <w:tcPr>
            <w:tcW w:w="1560" w:type="dxa"/>
            <w:vAlign w:val="center"/>
          </w:tcPr>
          <w:p w14:paraId="6F1351D9">
            <w:pPr>
              <w:keepNext w:val="0"/>
              <w:keepLines w:val="0"/>
              <w:pageBreakBefore w:val="0"/>
              <w:kinsoku/>
              <w:wordWrap/>
              <w:overflowPunct/>
              <w:topLinePunct w:val="0"/>
              <w:autoSpaceDE/>
              <w:autoSpaceDN/>
              <w:bidi w:val="0"/>
              <w:adjustRightInd/>
              <w:snapToGrid/>
              <w:spacing w:line="192" w:lineRule="auto"/>
              <w:jc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汾西县发展和改革局</w:t>
            </w:r>
          </w:p>
        </w:tc>
        <w:tc>
          <w:tcPr>
            <w:tcW w:w="1530" w:type="dxa"/>
            <w:vAlign w:val="center"/>
          </w:tcPr>
          <w:p w14:paraId="30286A0F">
            <w:pPr>
              <w:keepNext w:val="0"/>
              <w:keepLines w:val="0"/>
              <w:pageBreakBefore w:val="0"/>
              <w:kinsoku/>
              <w:wordWrap/>
              <w:overflowPunct/>
              <w:topLinePunct w:val="0"/>
              <w:autoSpaceDE/>
              <w:autoSpaceDN/>
              <w:bidi w:val="0"/>
              <w:adjustRightInd/>
              <w:snapToGrid/>
              <w:spacing w:line="192" w:lineRule="auto"/>
              <w:jc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汾西县发展和改革局</w:t>
            </w:r>
          </w:p>
        </w:tc>
        <w:tc>
          <w:tcPr>
            <w:tcW w:w="931" w:type="dxa"/>
            <w:vAlign w:val="center"/>
          </w:tcPr>
          <w:p w14:paraId="31709045">
            <w:pPr>
              <w:keepNext w:val="0"/>
              <w:keepLines w:val="0"/>
              <w:pageBreakBefore w:val="0"/>
              <w:kinsoku/>
              <w:wordWrap/>
              <w:overflowPunct/>
              <w:topLinePunct w:val="0"/>
              <w:autoSpaceDE/>
              <w:autoSpaceDN/>
              <w:bidi w:val="0"/>
              <w:adjustRightInd/>
              <w:snapToGrid/>
              <w:spacing w:line="192" w:lineRule="auto"/>
              <w:jc w:val="center"/>
              <w:rPr>
                <w:rFonts w:hint="eastAsia" w:ascii="仿宋" w:hAnsi="仿宋" w:eastAsia="仿宋" w:cs="仿宋"/>
                <w:sz w:val="18"/>
                <w:szCs w:val="18"/>
                <w:vertAlign w:val="baseline"/>
                <w:lang w:val="en-US" w:eastAsia="zh-CN"/>
              </w:rPr>
            </w:pPr>
          </w:p>
        </w:tc>
      </w:tr>
      <w:tr w14:paraId="263B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926" w:type="dxa"/>
            <w:vAlign w:val="center"/>
          </w:tcPr>
          <w:p w14:paraId="089300E0">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408" w:type="dxa"/>
            <w:vAlign w:val="center"/>
          </w:tcPr>
          <w:p w14:paraId="0D8D8B42">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对用能单位使用国家明令淘汰的用能设备、生产工艺行为的行政处罚</w:t>
            </w:r>
          </w:p>
        </w:tc>
        <w:tc>
          <w:tcPr>
            <w:tcW w:w="1507" w:type="dxa"/>
            <w:vAlign w:val="center"/>
          </w:tcPr>
          <w:p w14:paraId="16B3645D">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7650668B">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1.《中华人民共和国节约能源法》第七十一条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tc>
        <w:tc>
          <w:tcPr>
            <w:tcW w:w="1560" w:type="dxa"/>
            <w:vAlign w:val="center"/>
          </w:tcPr>
          <w:p w14:paraId="51EEB897">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6AD50C3B">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DC060D0">
            <w:pPr>
              <w:jc w:val="center"/>
              <w:rPr>
                <w:rFonts w:hint="eastAsia" w:ascii="仿宋" w:hAnsi="仿宋" w:eastAsia="仿宋" w:cs="仿宋"/>
                <w:sz w:val="32"/>
                <w:szCs w:val="32"/>
                <w:vertAlign w:val="baseline"/>
                <w:lang w:val="en-US" w:eastAsia="zh-CN"/>
              </w:rPr>
            </w:pPr>
          </w:p>
        </w:tc>
      </w:tr>
      <w:tr w14:paraId="7EE4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926" w:type="dxa"/>
            <w:vAlign w:val="center"/>
          </w:tcPr>
          <w:p w14:paraId="5460033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408" w:type="dxa"/>
            <w:vAlign w:val="center"/>
          </w:tcPr>
          <w:p w14:paraId="504F093C">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对能源固定资产投资项目未备案的行政处罚</w:t>
            </w:r>
          </w:p>
        </w:tc>
        <w:tc>
          <w:tcPr>
            <w:tcW w:w="1507" w:type="dxa"/>
            <w:vAlign w:val="center"/>
          </w:tcPr>
          <w:p w14:paraId="51CF117A">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741C28E6">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 xml:space="preserve"> 1、《企业投资项目核准和备案管理办法》第五十七条2、《企业投资项目核准和备案管理条例》第十九条　实行备案管理的项目，企业未依照本条例规定将项目信息或者已备案项目的信息变更情况告知备案机关，或者向备案机关提供虚假信息的，由备案机关责令限期改正；逾期不改正的，处2万元以上5万元以下的罚款。</w:t>
            </w:r>
          </w:p>
        </w:tc>
        <w:tc>
          <w:tcPr>
            <w:tcW w:w="1560" w:type="dxa"/>
            <w:vAlign w:val="center"/>
          </w:tcPr>
          <w:p w14:paraId="11E6FAF2">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56556CE">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DD46728">
            <w:pPr>
              <w:jc w:val="center"/>
              <w:rPr>
                <w:rFonts w:hint="eastAsia" w:ascii="仿宋" w:hAnsi="仿宋" w:eastAsia="仿宋" w:cs="仿宋"/>
                <w:sz w:val="32"/>
                <w:szCs w:val="32"/>
                <w:vertAlign w:val="baseline"/>
                <w:lang w:val="en-US" w:eastAsia="zh-CN"/>
              </w:rPr>
            </w:pPr>
          </w:p>
        </w:tc>
      </w:tr>
      <w:tr w14:paraId="2ADC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182255F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2408" w:type="dxa"/>
            <w:vAlign w:val="center"/>
          </w:tcPr>
          <w:p w14:paraId="5B66E0BC">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对电力建设项目不符合发展规划、产业政策或者使用国家明令淘汰电力设备和技术的处罚</w:t>
            </w:r>
          </w:p>
        </w:tc>
        <w:tc>
          <w:tcPr>
            <w:tcW w:w="1507" w:type="dxa"/>
            <w:vAlign w:val="center"/>
          </w:tcPr>
          <w:p w14:paraId="6F8D5B1E">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18147B36">
            <w:pPr>
              <w:keepNext w:val="0"/>
              <w:keepLines w:val="0"/>
              <w:widowControl/>
              <w:suppressLineNumbers w:val="0"/>
              <w:spacing w:after="200" w:afterAutospacing="0"/>
              <w:jc w:val="center"/>
              <w:textAlignment w:val="center"/>
              <w:rPr>
                <w:rFonts w:hint="eastAsia" w:ascii="仿宋" w:hAnsi="仿宋" w:eastAsia="仿宋" w:cs="仿宋"/>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《中华人民共和国电力法》第六十二条 违反本法第十四条规定，电力建设项目不符合电力发展规划、产业政策的，由电力管理部门责令停止建设。违反本法第十四条规定，电力建设项目使用国家明令淘汰的电力设备和技术的，由电力管理部门责令停止使用，没收国家明令淘汰的电力设备，并处五万元以下的罚款。《中华人民共和国电力法》（中华人民共和国主席令第六十号）第十四条 电力建设项目应当符合电力发展规划，符合国家电力产业政策。电力建设项目不得使用国家明令淘汰的电力设备和技术。</w:t>
            </w:r>
          </w:p>
        </w:tc>
        <w:tc>
          <w:tcPr>
            <w:tcW w:w="1560" w:type="dxa"/>
            <w:vAlign w:val="center"/>
          </w:tcPr>
          <w:p w14:paraId="718D2260">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66F48F7D">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7B48465D">
            <w:pPr>
              <w:jc w:val="center"/>
              <w:rPr>
                <w:rFonts w:hint="eastAsia" w:ascii="仿宋" w:hAnsi="仿宋" w:eastAsia="仿宋" w:cs="仿宋"/>
                <w:sz w:val="32"/>
                <w:szCs w:val="32"/>
                <w:vertAlign w:val="baseline"/>
                <w:lang w:val="en-US" w:eastAsia="zh-CN"/>
              </w:rPr>
            </w:pPr>
          </w:p>
        </w:tc>
      </w:tr>
      <w:tr w14:paraId="6220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trPr>
        <w:tc>
          <w:tcPr>
            <w:tcW w:w="926" w:type="dxa"/>
            <w:vAlign w:val="center"/>
          </w:tcPr>
          <w:p w14:paraId="7B091EE3">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2408" w:type="dxa"/>
            <w:vAlign w:val="center"/>
          </w:tcPr>
          <w:p w14:paraId="5452B303">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对危害供电、用电安全或者扰乱供电、用电秩序的处罚</w:t>
            </w:r>
          </w:p>
        </w:tc>
        <w:tc>
          <w:tcPr>
            <w:tcW w:w="1507" w:type="dxa"/>
            <w:vAlign w:val="center"/>
          </w:tcPr>
          <w:p w14:paraId="69561BB8">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098AD37D">
            <w:pPr>
              <w:keepNext w:val="0"/>
              <w:keepLines w:val="0"/>
              <w:widowControl/>
              <w:suppressLineNumbers w:val="0"/>
              <w:jc w:val="center"/>
              <w:textAlignment w:val="center"/>
              <w:rPr>
                <w:rFonts w:hint="eastAsia" w:ascii="仿宋" w:hAnsi="仿宋" w:eastAsia="仿宋" w:cs="仿宋"/>
                <w:sz w:val="18"/>
                <w:szCs w:val="18"/>
                <w:vertAlign w:val="baseline"/>
                <w:lang w:val="en-US" w:eastAsia="zh-CN"/>
              </w:rPr>
            </w:pPr>
            <w:bookmarkStart w:id="1" w:name="OLE_LINK1"/>
            <w:r>
              <w:rPr>
                <w:rFonts w:hint="eastAsia" w:ascii="宋体" w:hAnsi="宋体" w:eastAsia="宋体" w:cs="宋体"/>
                <w:i w:val="0"/>
                <w:iCs w:val="0"/>
                <w:color w:val="000000"/>
                <w:kern w:val="0"/>
                <w:sz w:val="18"/>
                <w:szCs w:val="18"/>
                <w:u w:val="none"/>
                <w:lang w:val="en-US" w:eastAsia="zh-CN" w:bidi="ar"/>
              </w:rPr>
              <w:t>《中华人民共和国电力法》</w:t>
            </w:r>
            <w:bookmarkEnd w:id="1"/>
            <w:r>
              <w:rPr>
                <w:rFonts w:hint="eastAsia" w:ascii="宋体" w:hAnsi="宋体" w:eastAsia="宋体" w:cs="宋体"/>
                <w:i w:val="0"/>
                <w:iCs w:val="0"/>
                <w:color w:val="000000"/>
                <w:kern w:val="0"/>
                <w:sz w:val="18"/>
                <w:szCs w:val="18"/>
                <w:u w:val="none"/>
                <w:lang w:val="en-US" w:eastAsia="zh-CN" w:bidi="ar"/>
              </w:rPr>
              <w:t>第六十五条 违反本法第三十二条规定，危害供电、用电安全或者扰乱供电、用电秩序的，由电力管理部门责令改正，给予警告；情节严重或者拒绝改正的，可以中止供电，可以并处五万元以下的罚款。（中华人民共和国主席令第六十号）第三十二条 用户用电不得危害供电、用电安全和扰乱供电、用电秩序。对危害供电、用电安全和扰乱供电、用电秩序的，供电企业有权制止</w:t>
            </w:r>
          </w:p>
        </w:tc>
        <w:tc>
          <w:tcPr>
            <w:tcW w:w="1560" w:type="dxa"/>
            <w:vAlign w:val="center"/>
          </w:tcPr>
          <w:p w14:paraId="77D5DE2C">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6787F28E">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4760DB0">
            <w:pPr>
              <w:jc w:val="center"/>
              <w:rPr>
                <w:rFonts w:hint="eastAsia" w:ascii="仿宋" w:hAnsi="仿宋" w:eastAsia="仿宋" w:cs="仿宋"/>
                <w:sz w:val="32"/>
                <w:szCs w:val="32"/>
                <w:vertAlign w:val="baseline"/>
                <w:lang w:val="en-US" w:eastAsia="zh-CN"/>
              </w:rPr>
            </w:pPr>
          </w:p>
        </w:tc>
      </w:tr>
      <w:tr w14:paraId="41E8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926" w:type="dxa"/>
            <w:vAlign w:val="center"/>
          </w:tcPr>
          <w:p w14:paraId="2B12CA4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2408" w:type="dxa"/>
            <w:vAlign w:val="center"/>
          </w:tcPr>
          <w:p w14:paraId="233434F6">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对盗窃电能的处罚</w:t>
            </w:r>
          </w:p>
        </w:tc>
        <w:tc>
          <w:tcPr>
            <w:tcW w:w="1507" w:type="dxa"/>
            <w:vAlign w:val="center"/>
          </w:tcPr>
          <w:p w14:paraId="275E57C7">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55E1BBFF">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【法律】 《中华人民共和国电力法》（中华人民共和国主席令第六十号）第七十一条 盗窃电能的，由电力管理部门责令停止违法行为，追缴电费并处应交电费五倍以下的罚款；构成犯罪的，依照刑法有关规定追究刑事责任。</w:t>
            </w:r>
          </w:p>
        </w:tc>
        <w:tc>
          <w:tcPr>
            <w:tcW w:w="1560" w:type="dxa"/>
            <w:vAlign w:val="center"/>
          </w:tcPr>
          <w:p w14:paraId="0CEA3E20">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105E83AD">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096C063F">
            <w:pPr>
              <w:jc w:val="center"/>
              <w:rPr>
                <w:rFonts w:hint="eastAsia" w:ascii="仿宋" w:hAnsi="仿宋" w:eastAsia="仿宋" w:cs="仿宋"/>
                <w:sz w:val="32"/>
                <w:szCs w:val="32"/>
                <w:vertAlign w:val="baseline"/>
                <w:lang w:val="en-US" w:eastAsia="zh-CN"/>
              </w:rPr>
            </w:pPr>
          </w:p>
          <w:p w14:paraId="17089F98">
            <w:pPr>
              <w:jc w:val="center"/>
              <w:rPr>
                <w:rFonts w:hint="eastAsia" w:ascii="仿宋" w:hAnsi="仿宋" w:eastAsia="仿宋" w:cs="仿宋"/>
                <w:sz w:val="32"/>
                <w:szCs w:val="32"/>
                <w:vertAlign w:val="baseline"/>
                <w:lang w:val="en-US" w:eastAsia="zh-CN"/>
              </w:rPr>
            </w:pPr>
          </w:p>
        </w:tc>
      </w:tr>
      <w:tr w14:paraId="57D7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trPr>
        <w:tc>
          <w:tcPr>
            <w:tcW w:w="926" w:type="dxa"/>
            <w:vAlign w:val="center"/>
          </w:tcPr>
          <w:p w14:paraId="032B0FEE">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2408" w:type="dxa"/>
            <w:vAlign w:val="center"/>
          </w:tcPr>
          <w:p w14:paraId="3683EAB0">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对固定资产投资项目建设单位开工建设不符合强制性节能标准的项目或者将该项目投入生产、使用的处罚</w:t>
            </w:r>
          </w:p>
        </w:tc>
        <w:tc>
          <w:tcPr>
            <w:tcW w:w="1507" w:type="dxa"/>
            <w:vAlign w:val="center"/>
          </w:tcPr>
          <w:p w14:paraId="4775E969">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行政处罚</w:t>
            </w:r>
          </w:p>
        </w:tc>
        <w:tc>
          <w:tcPr>
            <w:tcW w:w="4110" w:type="dxa"/>
            <w:vAlign w:val="center"/>
          </w:tcPr>
          <w:p w14:paraId="0544299B">
            <w:pPr>
              <w:keepNext w:val="0"/>
              <w:keepLines w:val="0"/>
              <w:widowControl/>
              <w:suppressLineNumbers w:val="0"/>
              <w:jc w:val="center"/>
              <w:textAlignment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18"/>
                <w:szCs w:val="18"/>
                <w:u w:val="none"/>
                <w:lang w:val="en-US" w:eastAsia="zh-CN" w:bidi="ar"/>
              </w:rPr>
              <w:t>【法律】  《中华人民共和国节约能源法》第六十八条第二款对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r>
              <w:rPr>
                <w:rFonts w:hint="eastAsia" w:ascii="宋体" w:hAnsi="宋体" w:eastAsia="宋体" w:cs="宋体"/>
                <w:i w:val="0"/>
                <w:iCs w:val="0"/>
                <w:color w:val="000000"/>
                <w:kern w:val="0"/>
                <w:sz w:val="18"/>
                <w:szCs w:val="18"/>
                <w:u w:val="none"/>
                <w:lang w:val="en-US" w:eastAsia="zh-CN" w:bidi="ar"/>
              </w:rPr>
              <w:br w:type="textWrapping"/>
            </w:r>
          </w:p>
        </w:tc>
        <w:tc>
          <w:tcPr>
            <w:tcW w:w="1560" w:type="dxa"/>
            <w:vAlign w:val="center"/>
          </w:tcPr>
          <w:p w14:paraId="37535025">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5DDDB102">
            <w:pPr>
              <w:jc w:val="center"/>
              <w:rPr>
                <w:rFonts w:hint="eastAsia" w:ascii="仿宋" w:hAnsi="仿宋" w:eastAsia="仿宋" w:cs="仿宋"/>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4AFC46EE">
            <w:pPr>
              <w:jc w:val="center"/>
              <w:rPr>
                <w:rFonts w:hint="eastAsia" w:ascii="仿宋" w:hAnsi="仿宋" w:eastAsia="仿宋" w:cs="仿宋"/>
                <w:sz w:val="32"/>
                <w:szCs w:val="32"/>
                <w:vertAlign w:val="baseline"/>
                <w:lang w:val="en-US" w:eastAsia="zh-CN"/>
              </w:rPr>
            </w:pPr>
          </w:p>
        </w:tc>
      </w:tr>
      <w:tr w14:paraId="3CBB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926" w:type="dxa"/>
            <w:vAlign w:val="center"/>
          </w:tcPr>
          <w:p w14:paraId="6D2A4082">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2408" w:type="dxa"/>
            <w:vAlign w:val="center"/>
          </w:tcPr>
          <w:p w14:paraId="5BFF3F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拟申报中央预算内投资资金需求事项</w:t>
            </w:r>
          </w:p>
        </w:tc>
        <w:tc>
          <w:tcPr>
            <w:tcW w:w="1507" w:type="dxa"/>
            <w:vAlign w:val="center"/>
          </w:tcPr>
          <w:p w14:paraId="0BC050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3CEB17A4">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【部门规章】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《中央预算内投资补助和贴息项目管理办法》（2016年国家发展改革委员会令第45号）第八条</w:t>
            </w:r>
          </w:p>
        </w:tc>
        <w:tc>
          <w:tcPr>
            <w:tcW w:w="1560" w:type="dxa"/>
            <w:vAlign w:val="center"/>
          </w:tcPr>
          <w:p w14:paraId="0B011A2D">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14D10E4">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6AA25A78">
            <w:pPr>
              <w:jc w:val="center"/>
              <w:rPr>
                <w:rFonts w:hint="eastAsia" w:ascii="仿宋" w:hAnsi="仿宋" w:eastAsia="仿宋" w:cs="仿宋"/>
                <w:sz w:val="32"/>
                <w:szCs w:val="32"/>
                <w:vertAlign w:val="baseline"/>
                <w:lang w:val="en-US" w:eastAsia="zh-CN"/>
              </w:rPr>
            </w:pPr>
          </w:p>
        </w:tc>
      </w:tr>
      <w:tr w14:paraId="31A8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926" w:type="dxa"/>
            <w:vAlign w:val="center"/>
          </w:tcPr>
          <w:p w14:paraId="6D320E57">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2408" w:type="dxa"/>
            <w:vAlign w:val="center"/>
          </w:tcPr>
          <w:p w14:paraId="404004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价格成本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监审</w:t>
            </w:r>
          </w:p>
        </w:tc>
        <w:tc>
          <w:tcPr>
            <w:tcW w:w="1507" w:type="dxa"/>
            <w:vAlign w:val="center"/>
          </w:tcPr>
          <w:p w14:paraId="73235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77C4B24F">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《政府制定价格成本监审办法》（中华人民共和国国家发展和改革委员会令第8号） 第四条 </w:t>
            </w:r>
          </w:p>
        </w:tc>
        <w:tc>
          <w:tcPr>
            <w:tcW w:w="1560" w:type="dxa"/>
            <w:vAlign w:val="center"/>
          </w:tcPr>
          <w:p w14:paraId="0DD7E65F">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3CA8A122">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AF9A782">
            <w:pPr>
              <w:jc w:val="center"/>
              <w:rPr>
                <w:rFonts w:hint="eastAsia" w:ascii="仿宋" w:hAnsi="仿宋" w:eastAsia="仿宋" w:cs="仿宋"/>
                <w:sz w:val="32"/>
                <w:szCs w:val="32"/>
                <w:vertAlign w:val="baseline"/>
                <w:lang w:val="en-US" w:eastAsia="zh-CN"/>
              </w:rPr>
            </w:pPr>
          </w:p>
        </w:tc>
      </w:tr>
      <w:tr w14:paraId="2BF3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926" w:type="dxa"/>
            <w:vAlign w:val="center"/>
          </w:tcPr>
          <w:p w14:paraId="71FFCB71">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2408" w:type="dxa"/>
            <w:vAlign w:val="center"/>
          </w:tcPr>
          <w:p w14:paraId="63E43DC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对重点用能单位报送的能源利用状况报告的审查</w:t>
            </w:r>
          </w:p>
        </w:tc>
        <w:tc>
          <w:tcPr>
            <w:tcW w:w="1507" w:type="dxa"/>
            <w:vAlign w:val="center"/>
          </w:tcPr>
          <w:p w14:paraId="68FD26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319EDD4D">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【法律】《中华人民共和国节约能源法》第五十四条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tc>
        <w:tc>
          <w:tcPr>
            <w:tcW w:w="1560" w:type="dxa"/>
            <w:vAlign w:val="center"/>
          </w:tcPr>
          <w:p w14:paraId="47F8BC9F">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6F53E904">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2EFF880">
            <w:pPr>
              <w:jc w:val="center"/>
              <w:rPr>
                <w:rFonts w:hint="eastAsia" w:ascii="仿宋" w:hAnsi="仿宋" w:eastAsia="仿宋" w:cs="仿宋"/>
                <w:sz w:val="32"/>
                <w:szCs w:val="32"/>
                <w:vertAlign w:val="baseline"/>
                <w:lang w:val="en-US" w:eastAsia="zh-CN"/>
              </w:rPr>
            </w:pPr>
          </w:p>
        </w:tc>
      </w:tr>
      <w:tr w14:paraId="06B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926" w:type="dxa"/>
            <w:vAlign w:val="center"/>
          </w:tcPr>
          <w:p w14:paraId="1F788E3F">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14</w:t>
            </w:r>
          </w:p>
        </w:tc>
        <w:tc>
          <w:tcPr>
            <w:tcW w:w="2408" w:type="dxa"/>
            <w:vAlign w:val="center"/>
          </w:tcPr>
          <w:p w14:paraId="496B3B9E">
            <w:pPr>
              <w:keepNext w:val="0"/>
              <w:keepLines w:val="0"/>
              <w:widowControl/>
              <w:suppressLineNumbers w:val="0"/>
              <w:spacing w:after="200" w:afterAutospacing="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重点用能单位能源管理人员备案</w:t>
            </w:r>
          </w:p>
        </w:tc>
        <w:tc>
          <w:tcPr>
            <w:tcW w:w="1507" w:type="dxa"/>
            <w:vAlign w:val="center"/>
          </w:tcPr>
          <w:p w14:paraId="50365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45846303">
            <w:pPr>
              <w:keepNext w:val="0"/>
              <w:keepLines w:val="0"/>
              <w:widowControl/>
              <w:suppressLineNumbers w:val="0"/>
              <w:spacing w:after="200" w:afterAutospacing="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【法律】《中华人民共和国节约能源法》第五十五条 重点用能单位应当设立能源管理岗位，在具有节能专业知识、实际经验以及中级以上技术职称的人员中聘任能源管理负责人，并报管理节能工作的部门和有关部门备案。</w:t>
            </w:r>
          </w:p>
        </w:tc>
        <w:tc>
          <w:tcPr>
            <w:tcW w:w="1560" w:type="dxa"/>
            <w:vAlign w:val="center"/>
          </w:tcPr>
          <w:p w14:paraId="3568DA47">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7C2BD6BC">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057F9251">
            <w:pPr>
              <w:jc w:val="center"/>
              <w:rPr>
                <w:rFonts w:hint="eastAsia" w:ascii="仿宋" w:hAnsi="仿宋" w:eastAsia="仿宋" w:cs="仿宋"/>
                <w:sz w:val="32"/>
                <w:szCs w:val="32"/>
                <w:vertAlign w:val="baseline"/>
                <w:lang w:val="en-US" w:eastAsia="zh-CN"/>
              </w:rPr>
            </w:pPr>
          </w:p>
        </w:tc>
      </w:tr>
      <w:tr w14:paraId="0CC2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26" w:type="dxa"/>
            <w:vAlign w:val="center"/>
          </w:tcPr>
          <w:p w14:paraId="56412CF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15</w:t>
            </w:r>
          </w:p>
        </w:tc>
        <w:tc>
          <w:tcPr>
            <w:tcW w:w="2408" w:type="dxa"/>
            <w:vAlign w:val="center"/>
          </w:tcPr>
          <w:p w14:paraId="5FE517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电网超计划拉闸限电和事故拉闸限电序位的批复</w:t>
            </w:r>
          </w:p>
        </w:tc>
        <w:tc>
          <w:tcPr>
            <w:tcW w:w="1507" w:type="dxa"/>
            <w:vAlign w:val="center"/>
          </w:tcPr>
          <w:p w14:paraId="03715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2B0FD37E">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【行政法规】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《电网调度管理条例》（国务院令第115号）第十九条</w:t>
            </w:r>
          </w:p>
        </w:tc>
        <w:tc>
          <w:tcPr>
            <w:tcW w:w="1560" w:type="dxa"/>
            <w:vAlign w:val="center"/>
          </w:tcPr>
          <w:p w14:paraId="09BDE944">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50477E1">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11BE8456">
            <w:pPr>
              <w:jc w:val="center"/>
              <w:rPr>
                <w:rFonts w:hint="eastAsia" w:ascii="仿宋" w:hAnsi="仿宋" w:eastAsia="仿宋" w:cs="仿宋"/>
                <w:sz w:val="32"/>
                <w:szCs w:val="32"/>
                <w:vertAlign w:val="baseline"/>
                <w:lang w:val="en-US" w:eastAsia="zh-CN"/>
              </w:rPr>
            </w:pPr>
          </w:p>
        </w:tc>
      </w:tr>
      <w:tr w14:paraId="0C05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926" w:type="dxa"/>
            <w:vAlign w:val="center"/>
          </w:tcPr>
          <w:p w14:paraId="5D42EA3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w:t>
            </w:r>
          </w:p>
        </w:tc>
        <w:tc>
          <w:tcPr>
            <w:tcW w:w="2408" w:type="dxa"/>
            <w:vAlign w:val="center"/>
          </w:tcPr>
          <w:p w14:paraId="7AC4F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重要电力用户名单的批复</w:t>
            </w:r>
          </w:p>
        </w:tc>
        <w:tc>
          <w:tcPr>
            <w:tcW w:w="1507" w:type="dxa"/>
            <w:vAlign w:val="center"/>
          </w:tcPr>
          <w:p w14:paraId="240194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602EF899">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【规范性文件】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国家电监委印发《关于加强重要电力用户供电电源及自备应急电源配置监督管理的意见》的通知（电监安全〔2008〕43号）第一条</w:t>
            </w:r>
          </w:p>
        </w:tc>
        <w:tc>
          <w:tcPr>
            <w:tcW w:w="1560" w:type="dxa"/>
            <w:vAlign w:val="center"/>
          </w:tcPr>
          <w:p w14:paraId="303C0B2B">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ADD74F8">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46B43E0F">
            <w:pPr>
              <w:jc w:val="center"/>
              <w:rPr>
                <w:rFonts w:hint="eastAsia" w:ascii="仿宋" w:hAnsi="仿宋" w:eastAsia="仿宋" w:cs="仿宋"/>
                <w:sz w:val="32"/>
                <w:szCs w:val="32"/>
                <w:vertAlign w:val="baseline"/>
                <w:lang w:val="en-US" w:eastAsia="zh-CN"/>
              </w:rPr>
            </w:pPr>
          </w:p>
        </w:tc>
      </w:tr>
      <w:tr w14:paraId="46AB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26" w:type="dxa"/>
            <w:vAlign w:val="center"/>
          </w:tcPr>
          <w:p w14:paraId="60485B8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w:t>
            </w:r>
          </w:p>
        </w:tc>
        <w:tc>
          <w:tcPr>
            <w:tcW w:w="2408" w:type="dxa"/>
            <w:vAlign w:val="center"/>
          </w:tcPr>
          <w:p w14:paraId="620613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煤矿建设工程项目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竣工验收初审</w:t>
            </w:r>
          </w:p>
        </w:tc>
        <w:tc>
          <w:tcPr>
            <w:tcW w:w="1507" w:type="dxa"/>
            <w:vAlign w:val="center"/>
          </w:tcPr>
          <w:p w14:paraId="2B4D8A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611E945C">
            <w:pPr>
              <w:keepNext w:val="0"/>
              <w:keepLines w:val="0"/>
              <w:widowControl/>
              <w:suppressLineNumbers w:val="0"/>
              <w:jc w:val="left"/>
              <w:textAlignment w:val="center"/>
              <w:rPr>
                <w:rStyle w:val="7"/>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【地方规定】《山西省煤炭管理条例》第17条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【部门规章】《山西省煤矿建设项目竣工验收办法》</w:t>
            </w:r>
          </w:p>
        </w:tc>
        <w:tc>
          <w:tcPr>
            <w:tcW w:w="1560" w:type="dxa"/>
            <w:vAlign w:val="center"/>
          </w:tcPr>
          <w:p w14:paraId="66C1338D">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2B906F5B">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1ED97BF7">
            <w:pPr>
              <w:jc w:val="center"/>
              <w:rPr>
                <w:rFonts w:hint="eastAsia" w:ascii="仿宋" w:hAnsi="仿宋" w:eastAsia="仿宋" w:cs="仿宋"/>
                <w:sz w:val="32"/>
                <w:szCs w:val="32"/>
                <w:vertAlign w:val="baseline"/>
                <w:lang w:val="en-US" w:eastAsia="zh-CN"/>
              </w:rPr>
            </w:pPr>
          </w:p>
        </w:tc>
      </w:tr>
      <w:tr w14:paraId="1991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26" w:type="dxa"/>
            <w:vAlign w:val="center"/>
          </w:tcPr>
          <w:p w14:paraId="1B9FF848">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w:t>
            </w:r>
          </w:p>
        </w:tc>
        <w:tc>
          <w:tcPr>
            <w:tcW w:w="2408" w:type="dxa"/>
            <w:vAlign w:val="center"/>
          </w:tcPr>
          <w:p w14:paraId="0E7A3B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煤矿建设项目初步设计初审及设计变更</w:t>
            </w:r>
          </w:p>
        </w:tc>
        <w:tc>
          <w:tcPr>
            <w:tcW w:w="1507" w:type="dxa"/>
            <w:vAlign w:val="center"/>
          </w:tcPr>
          <w:p w14:paraId="3027B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0D144DAA">
            <w:pPr>
              <w:keepNext w:val="0"/>
              <w:keepLines w:val="0"/>
              <w:widowControl/>
              <w:suppressLineNumbers w:val="0"/>
              <w:jc w:val="left"/>
              <w:textAlignment w:val="center"/>
              <w:rPr>
                <w:rStyle w:val="7"/>
                <w:lang w:val="en-US" w:eastAsia="zh-CN" w:bidi="ar"/>
              </w:rPr>
            </w:pPr>
            <w:r>
              <w:rPr>
                <w:rFonts w:hint="eastAsia" w:ascii="宋体" w:hAnsi="宋体" w:eastAsia="宋体" w:cs="宋体"/>
                <w:i w:val="0"/>
                <w:iCs w:val="0"/>
                <w:color w:val="000000"/>
                <w:kern w:val="0"/>
                <w:sz w:val="20"/>
                <w:szCs w:val="20"/>
                <w:u w:val="none"/>
                <w:lang w:val="en-US" w:eastAsia="zh-CN" w:bidi="ar"/>
              </w:rPr>
              <w:t>【部门规章】《山西省煤矿建设标准》；《关于办理煤矿及选煤厂初步设计及开工建设审批的规定》（晋煤办基发[2011]1000号）</w:t>
            </w:r>
          </w:p>
        </w:tc>
        <w:tc>
          <w:tcPr>
            <w:tcW w:w="1560" w:type="dxa"/>
            <w:vAlign w:val="center"/>
          </w:tcPr>
          <w:p w14:paraId="1C9FB518">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782B16E1">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7157022E">
            <w:pPr>
              <w:jc w:val="center"/>
              <w:rPr>
                <w:rFonts w:hint="eastAsia" w:ascii="仿宋" w:hAnsi="仿宋" w:eastAsia="仿宋" w:cs="仿宋"/>
                <w:sz w:val="32"/>
                <w:szCs w:val="32"/>
                <w:vertAlign w:val="baseline"/>
                <w:lang w:val="en-US" w:eastAsia="zh-CN"/>
              </w:rPr>
            </w:pPr>
          </w:p>
        </w:tc>
      </w:tr>
      <w:tr w14:paraId="58B7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26" w:type="dxa"/>
            <w:vAlign w:val="center"/>
          </w:tcPr>
          <w:p w14:paraId="43039AAD">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w:t>
            </w:r>
          </w:p>
        </w:tc>
        <w:tc>
          <w:tcPr>
            <w:tcW w:w="2408" w:type="dxa"/>
            <w:vAlign w:val="center"/>
          </w:tcPr>
          <w:p w14:paraId="4CE2EA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煤矿建设项目联合试运转</w:t>
            </w:r>
          </w:p>
        </w:tc>
        <w:tc>
          <w:tcPr>
            <w:tcW w:w="1507" w:type="dxa"/>
            <w:vAlign w:val="center"/>
          </w:tcPr>
          <w:p w14:paraId="614A43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083D8D0C">
            <w:pPr>
              <w:keepNext w:val="0"/>
              <w:keepLines w:val="0"/>
              <w:widowControl/>
              <w:suppressLineNumbers w:val="0"/>
              <w:jc w:val="left"/>
              <w:textAlignment w:val="center"/>
              <w:rPr>
                <w:rStyle w:val="7"/>
                <w:lang w:val="en-US" w:eastAsia="zh-CN" w:bidi="ar"/>
              </w:rPr>
            </w:pPr>
            <w:r>
              <w:rPr>
                <w:rFonts w:hint="eastAsia" w:ascii="宋体" w:hAnsi="宋体" w:eastAsia="宋体" w:cs="宋体"/>
                <w:i w:val="0"/>
                <w:iCs w:val="0"/>
                <w:color w:val="000000"/>
                <w:kern w:val="0"/>
                <w:sz w:val="20"/>
                <w:szCs w:val="20"/>
                <w:u w:val="none"/>
                <w:lang w:val="en-US" w:eastAsia="zh-CN" w:bidi="ar"/>
              </w:rPr>
              <w:t>【部门规章】《山西省新建改扩建煤矿联合试转管理办法》、《关于开展全省煤矿“规范建设年”活动的通知》（晋煤基局发[2014]1号）</w:t>
            </w:r>
          </w:p>
        </w:tc>
        <w:tc>
          <w:tcPr>
            <w:tcW w:w="1560" w:type="dxa"/>
            <w:vAlign w:val="center"/>
          </w:tcPr>
          <w:p w14:paraId="4087911D">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12A7ED50">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C1BCC79">
            <w:pPr>
              <w:jc w:val="center"/>
              <w:rPr>
                <w:rFonts w:hint="eastAsia" w:ascii="仿宋" w:hAnsi="仿宋" w:eastAsia="仿宋" w:cs="仿宋"/>
                <w:sz w:val="32"/>
                <w:szCs w:val="32"/>
                <w:vertAlign w:val="baseline"/>
                <w:lang w:val="en-US" w:eastAsia="zh-CN"/>
              </w:rPr>
            </w:pPr>
          </w:p>
        </w:tc>
      </w:tr>
      <w:tr w14:paraId="6EAE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926" w:type="dxa"/>
            <w:vAlign w:val="center"/>
          </w:tcPr>
          <w:p w14:paraId="6E49B2F8">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20</w:t>
            </w:r>
          </w:p>
        </w:tc>
        <w:tc>
          <w:tcPr>
            <w:tcW w:w="2408" w:type="dxa"/>
            <w:vAlign w:val="center"/>
          </w:tcPr>
          <w:p w14:paraId="2D4BFF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煤矿矿井改扩建（包括技术改造、增大生产能力及矿井）初审</w:t>
            </w:r>
          </w:p>
        </w:tc>
        <w:tc>
          <w:tcPr>
            <w:tcW w:w="1507" w:type="dxa"/>
            <w:vAlign w:val="center"/>
          </w:tcPr>
          <w:p w14:paraId="74BCDF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082F3541">
            <w:pPr>
              <w:keepNext w:val="0"/>
              <w:keepLines w:val="0"/>
              <w:widowControl/>
              <w:suppressLineNumbers w:val="0"/>
              <w:jc w:val="left"/>
              <w:textAlignment w:val="center"/>
              <w:rPr>
                <w:rStyle w:val="7"/>
                <w:lang w:val="en-US" w:eastAsia="zh-CN" w:bidi="ar"/>
              </w:rPr>
            </w:pPr>
            <w:r>
              <w:rPr>
                <w:rFonts w:hint="eastAsia" w:ascii="宋体" w:hAnsi="宋体" w:eastAsia="宋体" w:cs="宋体"/>
                <w:i w:val="0"/>
                <w:iCs w:val="0"/>
                <w:color w:val="000000"/>
                <w:kern w:val="0"/>
                <w:sz w:val="20"/>
                <w:szCs w:val="20"/>
                <w:u w:val="none"/>
                <w:lang w:val="en-US" w:eastAsia="zh-CN" w:bidi="ar"/>
              </w:rPr>
              <w:t>【法律】《中华人民共和国煤炭法》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【地方规定】《山西省煤炭管理条例》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【部门规章】省政府办公厅晋政办发〔2002〕49号</w:t>
            </w:r>
          </w:p>
        </w:tc>
        <w:tc>
          <w:tcPr>
            <w:tcW w:w="1560" w:type="dxa"/>
            <w:vAlign w:val="center"/>
          </w:tcPr>
          <w:p w14:paraId="5E325CB0">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1DB426C7">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23258F4D">
            <w:pPr>
              <w:jc w:val="center"/>
              <w:rPr>
                <w:rFonts w:hint="eastAsia" w:ascii="仿宋" w:hAnsi="仿宋" w:eastAsia="仿宋" w:cs="仿宋"/>
                <w:sz w:val="32"/>
                <w:szCs w:val="32"/>
                <w:vertAlign w:val="baseline"/>
                <w:lang w:val="en-US" w:eastAsia="zh-CN"/>
              </w:rPr>
            </w:pPr>
          </w:p>
        </w:tc>
      </w:tr>
      <w:tr w14:paraId="6AD7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926" w:type="dxa"/>
            <w:vAlign w:val="center"/>
          </w:tcPr>
          <w:p w14:paraId="7AEF2C1D">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21</w:t>
            </w:r>
          </w:p>
        </w:tc>
        <w:tc>
          <w:tcPr>
            <w:tcW w:w="2408" w:type="dxa"/>
            <w:vAlign w:val="center"/>
          </w:tcPr>
          <w:p w14:paraId="23C94A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煤矿生产能力核定初审</w:t>
            </w:r>
          </w:p>
        </w:tc>
        <w:tc>
          <w:tcPr>
            <w:tcW w:w="1507" w:type="dxa"/>
            <w:vAlign w:val="center"/>
          </w:tcPr>
          <w:p w14:paraId="4D26799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w:t>
            </w:r>
          </w:p>
        </w:tc>
        <w:tc>
          <w:tcPr>
            <w:tcW w:w="4110" w:type="dxa"/>
            <w:vAlign w:val="center"/>
          </w:tcPr>
          <w:p w14:paraId="65DE47F3">
            <w:pPr>
              <w:keepNext w:val="0"/>
              <w:keepLines w:val="0"/>
              <w:widowControl/>
              <w:suppressLineNumbers w:val="0"/>
              <w:jc w:val="left"/>
              <w:textAlignment w:val="center"/>
              <w:rPr>
                <w:rStyle w:val="7"/>
                <w:lang w:val="en-US" w:eastAsia="zh-CN" w:bidi="ar"/>
              </w:rPr>
            </w:pPr>
            <w:r>
              <w:rPr>
                <w:rFonts w:hint="eastAsia" w:ascii="宋体" w:hAnsi="宋体" w:eastAsia="宋体" w:cs="宋体"/>
                <w:i w:val="0"/>
                <w:iCs w:val="0"/>
                <w:color w:val="000000"/>
                <w:kern w:val="0"/>
                <w:sz w:val="20"/>
                <w:szCs w:val="20"/>
                <w:u w:val="none"/>
                <w:lang w:val="en-US" w:eastAsia="zh-CN" w:bidi="ar"/>
              </w:rPr>
              <w:t>【部门规章】国家发改委、国家安监总局、国家煤监局联合下发的《煤矿生产能力核定管理办法》、《煤矿生产能力核定标准》等有关规定</w:t>
            </w:r>
          </w:p>
        </w:tc>
        <w:tc>
          <w:tcPr>
            <w:tcW w:w="1560" w:type="dxa"/>
            <w:vAlign w:val="center"/>
          </w:tcPr>
          <w:p w14:paraId="76503AEC">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2C64CD05">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0BF9CBC2">
            <w:pPr>
              <w:jc w:val="center"/>
              <w:rPr>
                <w:rFonts w:hint="eastAsia" w:ascii="仿宋" w:hAnsi="仿宋" w:eastAsia="仿宋" w:cs="仿宋"/>
                <w:sz w:val="32"/>
                <w:szCs w:val="32"/>
                <w:vertAlign w:val="baseline"/>
                <w:lang w:val="en-US" w:eastAsia="zh-CN"/>
              </w:rPr>
            </w:pPr>
          </w:p>
        </w:tc>
      </w:tr>
      <w:tr w14:paraId="0BD2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926" w:type="dxa"/>
            <w:vAlign w:val="center"/>
          </w:tcPr>
          <w:p w14:paraId="483F3AD6">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w:t>
            </w:r>
          </w:p>
        </w:tc>
        <w:tc>
          <w:tcPr>
            <w:tcW w:w="2408" w:type="dxa"/>
            <w:vAlign w:val="center"/>
          </w:tcPr>
          <w:p w14:paraId="078DD8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对企业投资建设固定资产投资项目相关行为的行政检查</w:t>
            </w:r>
          </w:p>
        </w:tc>
        <w:tc>
          <w:tcPr>
            <w:tcW w:w="1507" w:type="dxa"/>
            <w:vAlign w:val="center"/>
          </w:tcPr>
          <w:p w14:paraId="16A31AA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4110" w:type="dxa"/>
            <w:vAlign w:val="center"/>
          </w:tcPr>
          <w:p w14:paraId="32C3E6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1.《企业投资项目核准和备案管理条例》（国务院令第673号）第十六条 2.《企业投资项目核准和备案管理办法 》（国家发展改革委令2017年第2号）第四十六条 、第四十七条 、第五十一条 。3.《企业投资项目事中事后监管办法》（国家发展改革委令2018年第14号）第三条</w:t>
            </w:r>
          </w:p>
        </w:tc>
        <w:tc>
          <w:tcPr>
            <w:tcW w:w="1560" w:type="dxa"/>
            <w:vAlign w:val="center"/>
          </w:tcPr>
          <w:p w14:paraId="011FD603">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72765DC1">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1907D658">
            <w:pPr>
              <w:jc w:val="center"/>
              <w:rPr>
                <w:rFonts w:hint="eastAsia" w:ascii="仿宋" w:hAnsi="仿宋" w:eastAsia="仿宋" w:cs="仿宋"/>
                <w:sz w:val="32"/>
                <w:szCs w:val="32"/>
                <w:vertAlign w:val="baseline"/>
                <w:lang w:val="en-US" w:eastAsia="zh-CN"/>
              </w:rPr>
            </w:pPr>
          </w:p>
        </w:tc>
      </w:tr>
      <w:tr w14:paraId="7C02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26" w:type="dxa"/>
            <w:vAlign w:val="center"/>
          </w:tcPr>
          <w:p w14:paraId="46DCADFA">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w:t>
            </w:r>
          </w:p>
        </w:tc>
        <w:tc>
          <w:tcPr>
            <w:tcW w:w="2408" w:type="dxa"/>
            <w:vAlign w:val="center"/>
          </w:tcPr>
          <w:p w14:paraId="71F617E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对电力企业（含自备电厂）、新能源企业安全生产情况的行政检查</w:t>
            </w:r>
          </w:p>
        </w:tc>
        <w:tc>
          <w:tcPr>
            <w:tcW w:w="1507" w:type="dxa"/>
            <w:vAlign w:val="center"/>
          </w:tcPr>
          <w:p w14:paraId="34E2F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4110" w:type="dxa"/>
            <w:vAlign w:val="center"/>
          </w:tcPr>
          <w:p w14:paraId="09B10D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1.《中华人民共和国安全生产法》第六十二条2.《山西省安全生产条例》；3.省委、省政府办公厅《关于调整和明确部分行业领域安全生产监管职责的通知》（厅字【2019】19号）</w:t>
            </w:r>
          </w:p>
        </w:tc>
        <w:tc>
          <w:tcPr>
            <w:tcW w:w="1560" w:type="dxa"/>
            <w:vAlign w:val="center"/>
          </w:tcPr>
          <w:p w14:paraId="5BDCBDA5">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E9801AA">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37EB9377">
            <w:pPr>
              <w:jc w:val="center"/>
              <w:rPr>
                <w:rFonts w:hint="eastAsia" w:ascii="仿宋" w:hAnsi="仿宋" w:eastAsia="仿宋" w:cs="仿宋"/>
                <w:sz w:val="32"/>
                <w:szCs w:val="32"/>
                <w:vertAlign w:val="baseline"/>
                <w:lang w:val="en-US" w:eastAsia="zh-CN"/>
              </w:rPr>
            </w:pPr>
          </w:p>
        </w:tc>
      </w:tr>
      <w:tr w14:paraId="6ADC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26" w:type="dxa"/>
            <w:vAlign w:val="center"/>
          </w:tcPr>
          <w:p w14:paraId="6C4EFA01">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w:t>
            </w:r>
          </w:p>
        </w:tc>
        <w:tc>
          <w:tcPr>
            <w:tcW w:w="2408" w:type="dxa"/>
            <w:vAlign w:val="center"/>
          </w:tcPr>
          <w:p w14:paraId="77559148">
            <w:pPr>
              <w:keepNext w:val="0"/>
              <w:keepLines w:val="0"/>
              <w:widowControl/>
              <w:suppressLineNumbers w:val="0"/>
              <w:jc w:val="center"/>
              <w:textAlignment w:val="bottom"/>
              <w:rPr>
                <w:rFonts w:hint="eastAsia" w:ascii="Arial" w:hAnsi="Arial" w:cs="Arial" w:eastAsiaTheme="minorEastAsia"/>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对用能单位及节能服务机构的行政检查</w:t>
            </w:r>
          </w:p>
        </w:tc>
        <w:tc>
          <w:tcPr>
            <w:tcW w:w="1507" w:type="dxa"/>
            <w:vAlign w:val="center"/>
          </w:tcPr>
          <w:p w14:paraId="4152D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行政检查</w:t>
            </w:r>
          </w:p>
        </w:tc>
        <w:tc>
          <w:tcPr>
            <w:tcW w:w="4110" w:type="dxa"/>
            <w:vAlign w:val="center"/>
          </w:tcPr>
          <w:p w14:paraId="106973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《中华人民共和国节约能源法》第五十四条，第七十六条，第八十二条，第八十四条</w:t>
            </w:r>
          </w:p>
        </w:tc>
        <w:tc>
          <w:tcPr>
            <w:tcW w:w="1560" w:type="dxa"/>
            <w:vAlign w:val="center"/>
          </w:tcPr>
          <w:p w14:paraId="6CCF1571">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1530" w:type="dxa"/>
            <w:vAlign w:val="center"/>
          </w:tcPr>
          <w:p w14:paraId="0EF9F892">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汾西县发展和改革局</w:t>
            </w:r>
          </w:p>
        </w:tc>
        <w:tc>
          <w:tcPr>
            <w:tcW w:w="931" w:type="dxa"/>
            <w:vAlign w:val="center"/>
          </w:tcPr>
          <w:p w14:paraId="0B4EFAB3">
            <w:pPr>
              <w:jc w:val="center"/>
              <w:rPr>
                <w:rFonts w:hint="eastAsia" w:ascii="仿宋" w:hAnsi="仿宋" w:eastAsia="仿宋" w:cs="仿宋"/>
                <w:sz w:val="32"/>
                <w:szCs w:val="32"/>
                <w:vertAlign w:val="baseline"/>
                <w:lang w:val="en-US" w:eastAsia="zh-CN"/>
              </w:rPr>
            </w:pPr>
          </w:p>
        </w:tc>
      </w:tr>
    </w:tbl>
    <w:p w14:paraId="694E1E65">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lang w:val="en-US" w:eastAsia="zh-CN"/>
        </w:rPr>
      </w:pPr>
    </w:p>
    <w:p w14:paraId="1006EDFF">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联系人：刘靖                                        联系方式：13935797523</w:t>
      </w:r>
    </w:p>
    <w:p w14:paraId="7EDB5061">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lang w:val="en-US" w:eastAsia="zh-CN"/>
        </w:rPr>
      </w:pPr>
      <w:bookmarkStart w:id="2" w:name="_GoBack"/>
      <w:bookmarkEnd w:id="2"/>
    </w:p>
    <w:p w14:paraId="73E8D19E">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注：1.事项名称填写的格式为“对XX的行政处罚（强制....）”;</w:t>
      </w:r>
    </w:p>
    <w:p w14:paraId="16DC0FA4">
      <w:pPr>
        <w:keepNext w:val="0"/>
        <w:keepLines w:val="0"/>
        <w:pageBreakBefore w:val="0"/>
        <w:widowControl w:val="0"/>
        <w:kinsoku/>
        <w:wordWrap/>
        <w:overflowPunct/>
        <w:topLinePunct w:val="0"/>
        <w:autoSpaceDE/>
        <w:autoSpaceDN/>
        <w:bidi w:val="0"/>
        <w:adjustRightInd/>
        <w:snapToGrid w:val="0"/>
        <w:ind w:left="638" w:leftChars="304"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2.事项类型：行政处罚、行政许可、行政强制、行政征收征用、行政检查、行政给付、行政确认及其他行政执法事项等;</w:t>
      </w:r>
    </w:p>
    <w:p w14:paraId="0A6F5047">
      <w:pPr>
        <w:keepNext w:val="0"/>
        <w:keepLines w:val="0"/>
        <w:pageBreakBefore w:val="0"/>
        <w:widowControl w:val="0"/>
        <w:kinsoku/>
        <w:wordWrap/>
        <w:overflowPunct/>
        <w:topLinePunct w:val="0"/>
        <w:autoSpaceDE/>
        <w:autoSpaceDN/>
        <w:bidi w:val="0"/>
        <w:adjustRightInd/>
        <w:snapToGrid w:val="0"/>
        <w:ind w:firstLine="640" w:firstLineChars="200"/>
        <w:jc w:val="left"/>
        <w:textAlignment w:val="auto"/>
        <w:rPr>
          <w:rFonts w:hint="eastAsia" w:ascii="仿宋" w:hAnsi="仿宋" w:eastAsia="仿宋" w:cs="仿宋"/>
          <w:sz w:val="32"/>
          <w:szCs w:val="32"/>
          <w:lang w:val="en-US" w:eastAsia="zh-CN"/>
        </w:rPr>
        <w:sectPr>
          <w:pgSz w:w="16838" w:h="11906" w:orient="landscape"/>
          <w:pgMar w:top="1587" w:right="2098" w:bottom="1474" w:left="1984" w:header="851" w:footer="992" w:gutter="0"/>
          <w:pgNumType w:fmt="decimal" w:start="2"/>
          <w:cols w:space="425" w:num="1"/>
          <w:docGrid w:type="lines" w:linePitch="312" w:charSpace="0"/>
        </w:sectPr>
      </w:pPr>
      <w:r>
        <w:rPr>
          <w:rFonts w:hint="eastAsia" w:ascii="仿宋" w:hAnsi="仿宋" w:eastAsia="仿宋" w:cs="仿宋"/>
          <w:sz w:val="32"/>
          <w:szCs w:val="32"/>
          <w:lang w:val="en-US" w:eastAsia="zh-CN"/>
        </w:rPr>
        <w:t>3.责任主体和实施主体均要填写单位规范全称，如“汾西县文化和旅游局”。</w:t>
      </w:r>
    </w:p>
    <w:p w14:paraId="4363C106">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仿宋_GB2312" w:hAnsi="仿宋_GB2312" w:eastAsia="仿宋_GB2312" w:cs="仿宋_GB2312"/>
          <w:sz w:val="32"/>
          <w:szCs w:val="32"/>
          <w:lang w:val="en-US" w:eastAsia="zh-CN"/>
        </w:rPr>
      </w:pPr>
    </w:p>
    <w:sectPr>
      <w:pgSz w:w="16838" w:h="11906" w:orient="landscape"/>
      <w:pgMar w:top="1020" w:right="2098" w:bottom="1020" w:left="1984"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M2EwMjI5ZmI3NzRiMmUzYjliY2UxOThlNTM4M2EifQ=="/>
  </w:docVars>
  <w:rsids>
    <w:rsidRoot w:val="2C213C5F"/>
    <w:rsid w:val="01011432"/>
    <w:rsid w:val="04221DEB"/>
    <w:rsid w:val="058C7E64"/>
    <w:rsid w:val="05A86320"/>
    <w:rsid w:val="098378B4"/>
    <w:rsid w:val="0C360E8F"/>
    <w:rsid w:val="0C64230F"/>
    <w:rsid w:val="0D7C256C"/>
    <w:rsid w:val="0D855F53"/>
    <w:rsid w:val="0EF11501"/>
    <w:rsid w:val="10DF7EDB"/>
    <w:rsid w:val="11C97D4A"/>
    <w:rsid w:val="11E44B84"/>
    <w:rsid w:val="135E01B4"/>
    <w:rsid w:val="136A15BD"/>
    <w:rsid w:val="13EDE6DF"/>
    <w:rsid w:val="151870BF"/>
    <w:rsid w:val="16147B83"/>
    <w:rsid w:val="16DF2AC8"/>
    <w:rsid w:val="1754066E"/>
    <w:rsid w:val="176A6FB7"/>
    <w:rsid w:val="177603D8"/>
    <w:rsid w:val="186B56B7"/>
    <w:rsid w:val="18EE04B0"/>
    <w:rsid w:val="198D6BF7"/>
    <w:rsid w:val="19956BF7"/>
    <w:rsid w:val="1A3F3219"/>
    <w:rsid w:val="1B2E16BD"/>
    <w:rsid w:val="1DDBC176"/>
    <w:rsid w:val="1ED56D27"/>
    <w:rsid w:val="1FB95733"/>
    <w:rsid w:val="1FE37477"/>
    <w:rsid w:val="227468FE"/>
    <w:rsid w:val="22B65D9C"/>
    <w:rsid w:val="23686FBD"/>
    <w:rsid w:val="237FCC3B"/>
    <w:rsid w:val="245E4322"/>
    <w:rsid w:val="24B77692"/>
    <w:rsid w:val="259B7995"/>
    <w:rsid w:val="26306760"/>
    <w:rsid w:val="271A62B7"/>
    <w:rsid w:val="278C56DA"/>
    <w:rsid w:val="27B6A456"/>
    <w:rsid w:val="292652CE"/>
    <w:rsid w:val="2C213C5F"/>
    <w:rsid w:val="2F7576C2"/>
    <w:rsid w:val="2FEC8976"/>
    <w:rsid w:val="2FF7803F"/>
    <w:rsid w:val="30BD78EB"/>
    <w:rsid w:val="315C572F"/>
    <w:rsid w:val="31A159FB"/>
    <w:rsid w:val="3237104B"/>
    <w:rsid w:val="32E26F56"/>
    <w:rsid w:val="337C6572"/>
    <w:rsid w:val="33BA04B6"/>
    <w:rsid w:val="33EEE26C"/>
    <w:rsid w:val="342966A0"/>
    <w:rsid w:val="3457653D"/>
    <w:rsid w:val="349D4154"/>
    <w:rsid w:val="36F9349B"/>
    <w:rsid w:val="371F5B92"/>
    <w:rsid w:val="37B4554F"/>
    <w:rsid w:val="386929FE"/>
    <w:rsid w:val="3A554B8C"/>
    <w:rsid w:val="3B6E5730"/>
    <w:rsid w:val="3BD3519D"/>
    <w:rsid w:val="3BFD29EA"/>
    <w:rsid w:val="3D1840ED"/>
    <w:rsid w:val="3DC5AF28"/>
    <w:rsid w:val="3DEB2C72"/>
    <w:rsid w:val="3E5D0954"/>
    <w:rsid w:val="3ED5450E"/>
    <w:rsid w:val="3EEEF3A1"/>
    <w:rsid w:val="3EEF0540"/>
    <w:rsid w:val="3F125FDD"/>
    <w:rsid w:val="3FD5DAA6"/>
    <w:rsid w:val="41D91D63"/>
    <w:rsid w:val="41E8105B"/>
    <w:rsid w:val="420D7F64"/>
    <w:rsid w:val="424F1CF4"/>
    <w:rsid w:val="42E47DEA"/>
    <w:rsid w:val="442C18EF"/>
    <w:rsid w:val="444C7316"/>
    <w:rsid w:val="45F309CC"/>
    <w:rsid w:val="48403BBB"/>
    <w:rsid w:val="48A26996"/>
    <w:rsid w:val="4A537576"/>
    <w:rsid w:val="4AA02CD2"/>
    <w:rsid w:val="4B2A405F"/>
    <w:rsid w:val="4B2D5CFC"/>
    <w:rsid w:val="4BC660EF"/>
    <w:rsid w:val="4C545E87"/>
    <w:rsid w:val="4D0F7FFF"/>
    <w:rsid w:val="4DC0265A"/>
    <w:rsid w:val="4DFA0CB0"/>
    <w:rsid w:val="4E5C6A56"/>
    <w:rsid w:val="4E7E7199"/>
    <w:rsid w:val="4EEFEFD5"/>
    <w:rsid w:val="4F5F2339"/>
    <w:rsid w:val="4FBF47DF"/>
    <w:rsid w:val="51590525"/>
    <w:rsid w:val="51727F40"/>
    <w:rsid w:val="51F36142"/>
    <w:rsid w:val="52D25D57"/>
    <w:rsid w:val="53FE5943"/>
    <w:rsid w:val="543F57C9"/>
    <w:rsid w:val="54D538D4"/>
    <w:rsid w:val="55D44CE5"/>
    <w:rsid w:val="55DF6AEA"/>
    <w:rsid w:val="56263B9E"/>
    <w:rsid w:val="5A9F2FDB"/>
    <w:rsid w:val="5AEA10B3"/>
    <w:rsid w:val="5AEA57CB"/>
    <w:rsid w:val="5AEF112B"/>
    <w:rsid w:val="5BFA7767"/>
    <w:rsid w:val="5BFF3ADA"/>
    <w:rsid w:val="5BFF45ED"/>
    <w:rsid w:val="5CAB1AF3"/>
    <w:rsid w:val="5D606819"/>
    <w:rsid w:val="5D8C4386"/>
    <w:rsid w:val="5DD10571"/>
    <w:rsid w:val="5DFF756C"/>
    <w:rsid w:val="5ED70C98"/>
    <w:rsid w:val="5EDE11DA"/>
    <w:rsid w:val="5F8D420B"/>
    <w:rsid w:val="5FFFC69D"/>
    <w:rsid w:val="613F2122"/>
    <w:rsid w:val="62032C71"/>
    <w:rsid w:val="628B3725"/>
    <w:rsid w:val="62D33B51"/>
    <w:rsid w:val="633A15FC"/>
    <w:rsid w:val="63413F6D"/>
    <w:rsid w:val="63872372"/>
    <w:rsid w:val="64964E36"/>
    <w:rsid w:val="64C321E9"/>
    <w:rsid w:val="64FBBF2C"/>
    <w:rsid w:val="65EC0485"/>
    <w:rsid w:val="65FF5214"/>
    <w:rsid w:val="66A001EE"/>
    <w:rsid w:val="675B50D3"/>
    <w:rsid w:val="67BD6041"/>
    <w:rsid w:val="68031899"/>
    <w:rsid w:val="697C2B26"/>
    <w:rsid w:val="6A18009C"/>
    <w:rsid w:val="6A1D1B56"/>
    <w:rsid w:val="6B811C71"/>
    <w:rsid w:val="6C5775A1"/>
    <w:rsid w:val="6E2103E4"/>
    <w:rsid w:val="6E726E91"/>
    <w:rsid w:val="6FB21085"/>
    <w:rsid w:val="6FC9E7AA"/>
    <w:rsid w:val="70CB2056"/>
    <w:rsid w:val="71E3443B"/>
    <w:rsid w:val="722DE385"/>
    <w:rsid w:val="72F709DC"/>
    <w:rsid w:val="72FE15CE"/>
    <w:rsid w:val="732A41EA"/>
    <w:rsid w:val="734F185E"/>
    <w:rsid w:val="73CFD759"/>
    <w:rsid w:val="73EE2314"/>
    <w:rsid w:val="742D5824"/>
    <w:rsid w:val="75ECB6EA"/>
    <w:rsid w:val="766C59F7"/>
    <w:rsid w:val="76BBD2FA"/>
    <w:rsid w:val="77AA6817"/>
    <w:rsid w:val="78FF4CEB"/>
    <w:rsid w:val="7AEC7057"/>
    <w:rsid w:val="7B7B8778"/>
    <w:rsid w:val="7BAFE19A"/>
    <w:rsid w:val="7BFF303C"/>
    <w:rsid w:val="7C686C61"/>
    <w:rsid w:val="7D1B9625"/>
    <w:rsid w:val="7D7E2B57"/>
    <w:rsid w:val="7DBF6843"/>
    <w:rsid w:val="7DDF8C46"/>
    <w:rsid w:val="7DF341DB"/>
    <w:rsid w:val="7E3EBB69"/>
    <w:rsid w:val="7E7C781E"/>
    <w:rsid w:val="7EAF5CF2"/>
    <w:rsid w:val="7EB7E269"/>
    <w:rsid w:val="7EDD14CC"/>
    <w:rsid w:val="7EF777C9"/>
    <w:rsid w:val="7EFD03F8"/>
    <w:rsid w:val="7F5F6671"/>
    <w:rsid w:val="7F75D535"/>
    <w:rsid w:val="7F7F2775"/>
    <w:rsid w:val="7F9F4C9E"/>
    <w:rsid w:val="7FAADB7A"/>
    <w:rsid w:val="7FCD9507"/>
    <w:rsid w:val="7FD57435"/>
    <w:rsid w:val="7FDFC50B"/>
    <w:rsid w:val="7FE57618"/>
    <w:rsid w:val="7FE98ECD"/>
    <w:rsid w:val="7FFC19F9"/>
    <w:rsid w:val="7FFEFB44"/>
    <w:rsid w:val="93FE8BF2"/>
    <w:rsid w:val="97AF9B70"/>
    <w:rsid w:val="97F4C593"/>
    <w:rsid w:val="9B2EBE4B"/>
    <w:rsid w:val="9BADA69E"/>
    <w:rsid w:val="9DBE5D95"/>
    <w:rsid w:val="9F3DAE98"/>
    <w:rsid w:val="9FB721B6"/>
    <w:rsid w:val="A6EFB756"/>
    <w:rsid w:val="A8FD1029"/>
    <w:rsid w:val="AE6FE5C3"/>
    <w:rsid w:val="B0DC846C"/>
    <w:rsid w:val="B0F715C8"/>
    <w:rsid w:val="BBEF8CA7"/>
    <w:rsid w:val="BEB0725A"/>
    <w:rsid w:val="BF7C2D63"/>
    <w:rsid w:val="BF7E0BDB"/>
    <w:rsid w:val="BF99F4F5"/>
    <w:rsid w:val="BFCF5F32"/>
    <w:rsid w:val="C87FBF75"/>
    <w:rsid w:val="CDFF3FE2"/>
    <w:rsid w:val="CFEE4493"/>
    <w:rsid w:val="D2EE9B8D"/>
    <w:rsid w:val="D777E491"/>
    <w:rsid w:val="DBFD302F"/>
    <w:rsid w:val="DBFD3ED4"/>
    <w:rsid w:val="DF7FCC03"/>
    <w:rsid w:val="DF9BE58A"/>
    <w:rsid w:val="DFDF1397"/>
    <w:rsid w:val="E667317F"/>
    <w:rsid w:val="E7EDE155"/>
    <w:rsid w:val="E7FF6A7B"/>
    <w:rsid w:val="E8FF5B47"/>
    <w:rsid w:val="EBD9BB02"/>
    <w:rsid w:val="EDDC200E"/>
    <w:rsid w:val="EFB2681A"/>
    <w:rsid w:val="F1E79408"/>
    <w:rsid w:val="F1F6617D"/>
    <w:rsid w:val="F4FE4F25"/>
    <w:rsid w:val="F57F483D"/>
    <w:rsid w:val="F5E3A151"/>
    <w:rsid w:val="F5FF8398"/>
    <w:rsid w:val="F6FE8AA9"/>
    <w:rsid w:val="F7CA5FD3"/>
    <w:rsid w:val="F7FE3717"/>
    <w:rsid w:val="F8AB2B38"/>
    <w:rsid w:val="F8DFBAAE"/>
    <w:rsid w:val="F9CB2BD6"/>
    <w:rsid w:val="FBCEC8A6"/>
    <w:rsid w:val="FBFC0054"/>
    <w:rsid w:val="FCEF4385"/>
    <w:rsid w:val="FCEFA1A4"/>
    <w:rsid w:val="FCFFC92D"/>
    <w:rsid w:val="FD7B35D7"/>
    <w:rsid w:val="FDE9F17D"/>
    <w:rsid w:val="FDF5DCAE"/>
    <w:rsid w:val="FDFBB0C5"/>
    <w:rsid w:val="FDFFDFD1"/>
    <w:rsid w:val="FEDBECD0"/>
    <w:rsid w:val="FEDE47BC"/>
    <w:rsid w:val="FEFF616A"/>
    <w:rsid w:val="FF766556"/>
    <w:rsid w:val="FF7FB10F"/>
    <w:rsid w:val="FFDF823F"/>
    <w:rsid w:val="FFE97C79"/>
    <w:rsid w:val="FFF6FDCD"/>
    <w:rsid w:val="FFFE23E0"/>
    <w:rsid w:val="FFFF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18"/>
      <w:szCs w:val="18"/>
      <w:u w:val="none"/>
    </w:rPr>
  </w:style>
  <w:style w:type="character" w:customStyle="1" w:styleId="8">
    <w:name w:val="font21"/>
    <w:basedOn w:val="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3762</Words>
  <Characters>3859</Characters>
  <Lines>0</Lines>
  <Paragraphs>0</Paragraphs>
  <TotalTime>104</TotalTime>
  <ScaleCrop>false</ScaleCrop>
  <LinksUpToDate>false</LinksUpToDate>
  <CharactersWithSpaces>4033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2024-04-24T10:33:00Z</dcterms:created>
  <dc:creator>刘春婵</dc:creator>
  <cp:lastModifiedBy>Administrator</cp:lastModifiedBy>
  <cp:lastPrinted>2024-11-15T02:28:00Z</cp:lastPrinted>
  <dcterms:modified xsi:type="dcterms:W3CDTF">2024-11-15T02:44:05Z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1D411AA1C1C1498DBC2DD2F12594DABF_13</vt:lpwstr>
  </property>
</Properties>
</file>