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24A2D">
      <w:pPr>
        <w:rPr>
          <w:rFonts w:hint="eastAsia" w:asciiTheme="majorEastAsia" w:hAnsiTheme="majorEastAsia" w:eastAsiaTheme="majorEastAsia" w:cstheme="majorEastAsia"/>
          <w:sz w:val="44"/>
          <w:szCs w:val="44"/>
          <w:lang w:val="en-US" w:eastAsia="zh-CN"/>
        </w:rPr>
      </w:pPr>
      <w:r>
        <w:rPr>
          <w:rFonts w:hint="eastAsia" w:ascii="Times New Roman" w:hAnsi="Times New Roman" w:eastAsia="黑体" w:cs="黑体"/>
          <w:sz w:val="32"/>
          <w:szCs w:val="32"/>
          <w:lang w:val="en-US" w:eastAsia="zh-CN"/>
        </w:rPr>
        <w:t>附件：</w:t>
      </w:r>
    </w:p>
    <w:p w14:paraId="6319B0DE">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汾西县统计局行政执法事项目录清单</w:t>
      </w:r>
    </w:p>
    <w:p w14:paraId="36069567">
      <w:pPr>
        <w:jc w:val="center"/>
        <w:rPr>
          <w:rFonts w:hint="eastAsia" w:asciiTheme="majorEastAsia" w:hAnsiTheme="majorEastAsia" w:eastAsiaTheme="majorEastAsia" w:cstheme="majorEastAsia"/>
          <w:sz w:val="44"/>
          <w:szCs w:val="44"/>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056"/>
        <w:gridCol w:w="1173"/>
        <w:gridCol w:w="7268"/>
        <w:gridCol w:w="1241"/>
        <w:gridCol w:w="1039"/>
        <w:gridCol w:w="736"/>
      </w:tblGrid>
      <w:tr w14:paraId="6D168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61" w:type="dxa"/>
            <w:vAlign w:val="center"/>
          </w:tcPr>
          <w:p w14:paraId="4152D32A">
            <w:p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2056" w:type="dxa"/>
            <w:vAlign w:val="center"/>
          </w:tcPr>
          <w:p w14:paraId="08240D24">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事 项 名 称</w:t>
            </w:r>
          </w:p>
        </w:tc>
        <w:tc>
          <w:tcPr>
            <w:tcW w:w="1173" w:type="dxa"/>
            <w:vAlign w:val="center"/>
          </w:tcPr>
          <w:p w14:paraId="39158188">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事 项类 型</w:t>
            </w:r>
          </w:p>
        </w:tc>
        <w:tc>
          <w:tcPr>
            <w:tcW w:w="7268" w:type="dxa"/>
            <w:vAlign w:val="center"/>
          </w:tcPr>
          <w:p w14:paraId="63DC84CE">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事 项 依 据</w:t>
            </w:r>
          </w:p>
        </w:tc>
        <w:tc>
          <w:tcPr>
            <w:tcW w:w="1241" w:type="dxa"/>
            <w:vAlign w:val="center"/>
          </w:tcPr>
          <w:p w14:paraId="0B0FE43A">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责 任</w:t>
            </w:r>
          </w:p>
          <w:p w14:paraId="507C2F1B">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主 体</w:t>
            </w:r>
          </w:p>
        </w:tc>
        <w:tc>
          <w:tcPr>
            <w:tcW w:w="1039" w:type="dxa"/>
            <w:vAlign w:val="center"/>
          </w:tcPr>
          <w:p w14:paraId="595E6B35">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实 施主 体</w:t>
            </w:r>
          </w:p>
        </w:tc>
        <w:tc>
          <w:tcPr>
            <w:tcW w:w="736" w:type="dxa"/>
            <w:vAlign w:val="center"/>
          </w:tcPr>
          <w:p w14:paraId="2752CAB7">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备注</w:t>
            </w:r>
          </w:p>
        </w:tc>
      </w:tr>
      <w:tr w14:paraId="5F53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27AF7740">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2056" w:type="dxa"/>
            <w:vAlign w:val="center"/>
          </w:tcPr>
          <w:p w14:paraId="3B01E975">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i w:val="0"/>
                <w:iCs w:val="0"/>
                <w:caps w:val="0"/>
                <w:color w:val="212529"/>
                <w:spacing w:val="0"/>
                <w:sz w:val="24"/>
                <w:szCs w:val="24"/>
                <w:shd w:val="clear" w:fill="FFFFFF"/>
              </w:rPr>
              <w:t>统计执法检查</w:t>
            </w:r>
          </w:p>
        </w:tc>
        <w:tc>
          <w:tcPr>
            <w:tcW w:w="1173" w:type="dxa"/>
            <w:vAlign w:val="center"/>
          </w:tcPr>
          <w:p w14:paraId="74B46379">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w:t>
            </w:r>
          </w:p>
          <w:p w14:paraId="45A453A4">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检查</w:t>
            </w:r>
          </w:p>
        </w:tc>
        <w:tc>
          <w:tcPr>
            <w:tcW w:w="7268" w:type="dxa"/>
            <w:vAlign w:val="center"/>
          </w:tcPr>
          <w:p w14:paraId="59CC0ED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212529"/>
                <w:spacing w:val="0"/>
                <w:sz w:val="24"/>
                <w:szCs w:val="24"/>
                <w:shd w:val="clear" w:fill="FFFFFF"/>
              </w:rPr>
              <w:t>《中华人民共和国统计法》第三十三条：国家统计局组织管理全国统计工作的监督检查，查处重大统计违法行为。县级以上地方人民政府统计机构依法查处本行政区域内发生的统计违法行为。</w:t>
            </w:r>
          </w:p>
        </w:tc>
        <w:tc>
          <w:tcPr>
            <w:tcW w:w="1241" w:type="dxa"/>
            <w:vAlign w:val="center"/>
          </w:tcPr>
          <w:p w14:paraId="28D2BF6F">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山西省汾西县统计局</w:t>
            </w:r>
          </w:p>
        </w:tc>
        <w:tc>
          <w:tcPr>
            <w:tcW w:w="1039" w:type="dxa"/>
            <w:vAlign w:val="center"/>
          </w:tcPr>
          <w:p w14:paraId="07565FB6">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山西省汾西县统计局</w:t>
            </w:r>
          </w:p>
        </w:tc>
        <w:tc>
          <w:tcPr>
            <w:tcW w:w="736" w:type="dxa"/>
            <w:vAlign w:val="center"/>
          </w:tcPr>
          <w:p w14:paraId="3BD59AD0">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32"/>
                <w:szCs w:val="32"/>
                <w:vertAlign w:val="baseline"/>
                <w:lang w:val="en-US" w:eastAsia="zh-CN"/>
              </w:rPr>
            </w:pPr>
          </w:p>
        </w:tc>
      </w:tr>
      <w:tr w14:paraId="5A11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0BF84FA4">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2056" w:type="dxa"/>
            <w:vAlign w:val="center"/>
          </w:tcPr>
          <w:p w14:paraId="298066B3">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i w:val="0"/>
                <w:iCs w:val="0"/>
                <w:caps w:val="0"/>
                <w:color w:val="212529"/>
                <w:spacing w:val="0"/>
                <w:sz w:val="24"/>
                <w:szCs w:val="24"/>
                <w:shd w:val="clear" w:fill="FFFFFF"/>
              </w:rPr>
              <w:t>对拒绝提供统计资料或者经催报后仍未按时提供统计资料</w:t>
            </w:r>
            <w:r>
              <w:rPr>
                <w:rFonts w:hint="eastAsia" w:ascii="仿宋" w:hAnsi="仿宋" w:eastAsia="仿宋" w:cs="仿宋"/>
                <w:i w:val="0"/>
                <w:iCs w:val="0"/>
                <w:caps w:val="0"/>
                <w:color w:val="212529"/>
                <w:spacing w:val="0"/>
                <w:sz w:val="24"/>
                <w:szCs w:val="24"/>
                <w:shd w:val="clear" w:fill="FFFFFF"/>
                <w:lang w:eastAsia="zh-CN"/>
              </w:rPr>
              <w:t>，</w:t>
            </w:r>
            <w:r>
              <w:rPr>
                <w:rFonts w:hint="eastAsia" w:ascii="仿宋" w:hAnsi="仿宋" w:eastAsia="仿宋" w:cs="仿宋"/>
                <w:i w:val="0"/>
                <w:iCs w:val="0"/>
                <w:caps w:val="0"/>
                <w:color w:val="212529"/>
                <w:spacing w:val="0"/>
                <w:sz w:val="24"/>
                <w:szCs w:val="24"/>
                <w:shd w:val="clear" w:fill="FFFFFF"/>
              </w:rPr>
              <w:t>提供不真实或不完整的统计资料</w:t>
            </w:r>
            <w:r>
              <w:rPr>
                <w:rFonts w:hint="eastAsia" w:ascii="仿宋" w:hAnsi="仿宋" w:eastAsia="仿宋" w:cs="仿宋"/>
                <w:i w:val="0"/>
                <w:iCs w:val="0"/>
                <w:caps w:val="0"/>
                <w:color w:val="212529"/>
                <w:spacing w:val="0"/>
                <w:sz w:val="24"/>
                <w:szCs w:val="24"/>
                <w:shd w:val="clear" w:fill="FFFFFF"/>
                <w:lang w:eastAsia="zh-CN"/>
              </w:rPr>
              <w:t>，</w:t>
            </w:r>
            <w:r>
              <w:rPr>
                <w:rFonts w:hint="eastAsia" w:ascii="仿宋" w:hAnsi="仿宋" w:eastAsia="仿宋" w:cs="仿宋"/>
                <w:i w:val="0"/>
                <w:iCs w:val="0"/>
                <w:caps w:val="0"/>
                <w:color w:val="212529"/>
                <w:spacing w:val="0"/>
                <w:sz w:val="24"/>
                <w:szCs w:val="24"/>
                <w:shd w:val="clear" w:fill="FFFFFF"/>
              </w:rPr>
              <w:t>拒绝答复或者不如实答复统计检查查询书</w:t>
            </w:r>
            <w:r>
              <w:rPr>
                <w:rFonts w:hint="eastAsia" w:ascii="仿宋" w:hAnsi="仿宋" w:eastAsia="仿宋" w:cs="仿宋"/>
                <w:i w:val="0"/>
                <w:iCs w:val="0"/>
                <w:caps w:val="0"/>
                <w:color w:val="212529"/>
                <w:spacing w:val="0"/>
                <w:sz w:val="24"/>
                <w:szCs w:val="24"/>
                <w:shd w:val="clear" w:fill="FFFFFF"/>
                <w:lang w:eastAsia="zh-CN"/>
              </w:rPr>
              <w:t>，</w:t>
            </w:r>
            <w:r>
              <w:rPr>
                <w:rFonts w:hint="eastAsia" w:ascii="仿宋" w:hAnsi="仿宋" w:eastAsia="仿宋" w:cs="仿宋"/>
                <w:i w:val="0"/>
                <w:iCs w:val="0"/>
                <w:caps w:val="0"/>
                <w:color w:val="212529"/>
                <w:spacing w:val="0"/>
                <w:sz w:val="24"/>
                <w:szCs w:val="24"/>
                <w:shd w:val="clear" w:fill="FFFFFF"/>
              </w:rPr>
              <w:t>拒绝</w:t>
            </w:r>
            <w:r>
              <w:rPr>
                <w:rFonts w:hint="eastAsia" w:ascii="仿宋" w:hAnsi="仿宋" w:eastAsia="仿宋" w:cs="仿宋"/>
                <w:i w:val="0"/>
                <w:iCs w:val="0"/>
                <w:caps w:val="0"/>
                <w:color w:val="212529"/>
                <w:spacing w:val="0"/>
                <w:sz w:val="24"/>
                <w:szCs w:val="24"/>
                <w:shd w:val="clear" w:fill="FFFFFF"/>
                <w:lang w:val="en-US" w:eastAsia="zh-CN"/>
              </w:rPr>
              <w:t>或</w:t>
            </w:r>
            <w:r>
              <w:rPr>
                <w:rFonts w:hint="eastAsia" w:ascii="仿宋" w:hAnsi="仿宋" w:eastAsia="仿宋" w:cs="仿宋"/>
                <w:i w:val="0"/>
                <w:iCs w:val="0"/>
                <w:caps w:val="0"/>
                <w:color w:val="212529"/>
                <w:spacing w:val="0"/>
                <w:sz w:val="24"/>
                <w:szCs w:val="24"/>
                <w:shd w:val="clear" w:fill="FFFFFF"/>
              </w:rPr>
              <w:t>阻碍统计调查、统计检查</w:t>
            </w:r>
            <w:r>
              <w:rPr>
                <w:rFonts w:hint="eastAsia" w:ascii="仿宋" w:hAnsi="仿宋" w:eastAsia="仿宋" w:cs="仿宋"/>
                <w:i w:val="0"/>
                <w:iCs w:val="0"/>
                <w:caps w:val="0"/>
                <w:color w:val="212529"/>
                <w:spacing w:val="0"/>
                <w:sz w:val="24"/>
                <w:szCs w:val="24"/>
                <w:shd w:val="clear" w:fill="FFFFFF"/>
                <w:lang w:eastAsia="zh-CN"/>
              </w:rPr>
              <w:t>，</w:t>
            </w:r>
            <w:r>
              <w:rPr>
                <w:rFonts w:hint="eastAsia" w:ascii="仿宋" w:hAnsi="仿宋" w:eastAsia="仿宋" w:cs="仿宋"/>
                <w:i w:val="0"/>
                <w:iCs w:val="0"/>
                <w:caps w:val="0"/>
                <w:color w:val="212529"/>
                <w:spacing w:val="0"/>
                <w:sz w:val="24"/>
                <w:szCs w:val="24"/>
                <w:shd w:val="clear" w:fill="FFFFFF"/>
              </w:rPr>
              <w:t>转移、隐匿、篡改、毁弃或者拒绝提供原始记录和凭证、统计台账、统计调查表及其他相关证明和资料的处罚</w:t>
            </w:r>
          </w:p>
        </w:tc>
        <w:tc>
          <w:tcPr>
            <w:tcW w:w="1173" w:type="dxa"/>
            <w:vAlign w:val="center"/>
          </w:tcPr>
          <w:p w14:paraId="53EE6FA5">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w:t>
            </w:r>
            <w:bookmarkStart w:id="0" w:name="_GoBack"/>
            <w:bookmarkEnd w:id="0"/>
          </w:p>
          <w:p w14:paraId="6FDBAAD1">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处罚</w:t>
            </w:r>
          </w:p>
        </w:tc>
        <w:tc>
          <w:tcPr>
            <w:tcW w:w="7268" w:type="dxa"/>
            <w:vAlign w:val="center"/>
          </w:tcPr>
          <w:p w14:paraId="58E92A2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left"/>
              <w:textAlignment w:val="auto"/>
              <w:rPr>
                <w:rFonts w:hint="eastAsia" w:ascii="仿宋" w:hAnsi="仿宋" w:eastAsia="仿宋" w:cs="仿宋"/>
                <w:i w:val="0"/>
                <w:iCs w:val="0"/>
                <w:caps w:val="0"/>
                <w:color w:val="212529"/>
                <w:spacing w:val="0"/>
                <w:sz w:val="24"/>
                <w:szCs w:val="24"/>
                <w:shd w:val="clear" w:fill="FFFFFF"/>
              </w:rPr>
            </w:pPr>
            <w:r>
              <w:rPr>
                <w:rFonts w:hint="eastAsia" w:ascii="仿宋" w:hAnsi="仿宋" w:eastAsia="仿宋" w:cs="仿宋"/>
                <w:i w:val="0"/>
                <w:iCs w:val="0"/>
                <w:caps w:val="0"/>
                <w:color w:val="212529"/>
                <w:spacing w:val="0"/>
                <w:sz w:val="24"/>
                <w:szCs w:val="24"/>
                <w:shd w:val="clear" w:fill="FFFFFF"/>
              </w:rPr>
              <w:t>《中华人民共和国统计法》第四十一条</w:t>
            </w:r>
            <w:r>
              <w:rPr>
                <w:rFonts w:hint="eastAsia" w:ascii="仿宋" w:hAnsi="仿宋" w:eastAsia="仿宋" w:cs="仿宋"/>
                <w:i w:val="0"/>
                <w:iCs w:val="0"/>
                <w:caps w:val="0"/>
                <w:color w:val="212529"/>
                <w:spacing w:val="0"/>
                <w:sz w:val="24"/>
                <w:szCs w:val="24"/>
                <w:shd w:val="clear" w:fill="FFFFFF"/>
                <w:lang w:eastAsia="zh-CN"/>
              </w:rPr>
              <w:t>：</w:t>
            </w:r>
            <w:r>
              <w:rPr>
                <w:rFonts w:hint="eastAsia" w:ascii="仿宋" w:hAnsi="仿宋" w:eastAsia="仿宋" w:cs="仿宋"/>
                <w:i w:val="0"/>
                <w:iCs w:val="0"/>
                <w:caps w:val="0"/>
                <w:color w:val="212529"/>
                <w:spacing w:val="0"/>
                <w:sz w:val="24"/>
                <w:szCs w:val="24"/>
                <w:shd w:val="clear" w:fill="FFFFFF"/>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14:paraId="767DDBB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left"/>
              <w:textAlignment w:val="auto"/>
              <w:rPr>
                <w:rFonts w:hint="eastAsia" w:ascii="仿宋" w:hAnsi="仿宋" w:eastAsia="仿宋" w:cs="仿宋"/>
                <w:i w:val="0"/>
                <w:iCs w:val="0"/>
                <w:caps w:val="0"/>
                <w:color w:val="212529"/>
                <w:spacing w:val="0"/>
                <w:sz w:val="24"/>
                <w:szCs w:val="24"/>
                <w:shd w:val="clear" w:fill="FFFFFF"/>
              </w:rPr>
            </w:pPr>
            <w:r>
              <w:rPr>
                <w:rFonts w:hint="eastAsia" w:ascii="仿宋" w:hAnsi="仿宋" w:eastAsia="仿宋" w:cs="仿宋"/>
                <w:i w:val="0"/>
                <w:iCs w:val="0"/>
                <w:caps w:val="0"/>
                <w:color w:val="212529"/>
                <w:spacing w:val="0"/>
                <w:sz w:val="24"/>
                <w:szCs w:val="24"/>
                <w:shd w:val="clear" w:fill="FFFFFF"/>
                <w:lang w:eastAsia="zh-CN"/>
              </w:rPr>
              <w:t>（</w:t>
            </w:r>
            <w:r>
              <w:rPr>
                <w:rFonts w:hint="eastAsia" w:ascii="仿宋" w:hAnsi="仿宋" w:eastAsia="仿宋" w:cs="仿宋"/>
                <w:i w:val="0"/>
                <w:iCs w:val="0"/>
                <w:caps w:val="0"/>
                <w:color w:val="212529"/>
                <w:spacing w:val="0"/>
                <w:sz w:val="24"/>
                <w:szCs w:val="24"/>
                <w:shd w:val="clear" w:fill="FFFFFF"/>
                <w:lang w:val="en-US" w:eastAsia="zh-CN"/>
              </w:rPr>
              <w:t>一</w:t>
            </w:r>
            <w:r>
              <w:rPr>
                <w:rFonts w:hint="eastAsia" w:ascii="仿宋" w:hAnsi="仿宋" w:eastAsia="仿宋" w:cs="仿宋"/>
                <w:i w:val="0"/>
                <w:iCs w:val="0"/>
                <w:caps w:val="0"/>
                <w:color w:val="212529"/>
                <w:spacing w:val="0"/>
                <w:sz w:val="24"/>
                <w:szCs w:val="24"/>
                <w:shd w:val="clear" w:fill="FFFFFF"/>
                <w:lang w:eastAsia="zh-CN"/>
              </w:rPr>
              <w:t>）</w:t>
            </w:r>
            <w:r>
              <w:rPr>
                <w:rFonts w:hint="eastAsia" w:ascii="仿宋" w:hAnsi="仿宋" w:eastAsia="仿宋" w:cs="仿宋"/>
                <w:i w:val="0"/>
                <w:iCs w:val="0"/>
                <w:caps w:val="0"/>
                <w:color w:val="212529"/>
                <w:spacing w:val="0"/>
                <w:sz w:val="24"/>
                <w:szCs w:val="24"/>
                <w:shd w:val="clear" w:fill="FFFFFF"/>
              </w:rPr>
              <w:t>拒绝提供统计资料或者经催报后仍未按时提供统计资料的；</w:t>
            </w:r>
          </w:p>
          <w:p w14:paraId="2F92FCBE">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ind w:leftChars="0" w:right="0" w:rightChars="0"/>
              <w:jc w:val="left"/>
              <w:textAlignment w:val="auto"/>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（二）提供不真实或者不完整的统计资的；</w:t>
            </w:r>
          </w:p>
          <w:p w14:paraId="3B04CAC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left"/>
              <w:textAlignment w:val="auto"/>
              <w:rPr>
                <w:rFonts w:hint="eastAsia" w:ascii="仿宋" w:hAnsi="仿宋" w:eastAsia="仿宋" w:cs="仿宋"/>
                <w:i w:val="0"/>
                <w:iCs w:val="0"/>
                <w:caps w:val="0"/>
                <w:color w:val="212529"/>
                <w:spacing w:val="0"/>
                <w:sz w:val="24"/>
                <w:szCs w:val="24"/>
                <w:shd w:val="clear" w:fill="FFFFFF"/>
              </w:rPr>
            </w:pPr>
            <w:r>
              <w:rPr>
                <w:rFonts w:hint="eastAsia" w:ascii="仿宋" w:hAnsi="仿宋" w:eastAsia="仿宋" w:cs="仿宋"/>
                <w:i w:val="0"/>
                <w:iCs w:val="0"/>
                <w:caps w:val="0"/>
                <w:color w:val="212529"/>
                <w:spacing w:val="0"/>
                <w:sz w:val="24"/>
                <w:szCs w:val="24"/>
                <w:shd w:val="clear" w:fill="FFFFFF"/>
              </w:rPr>
              <w:t>（三）拒绝答复或者不如实答复统计检查查询书的；</w:t>
            </w:r>
          </w:p>
          <w:p w14:paraId="5AE872E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left"/>
              <w:textAlignment w:val="auto"/>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（四）拒绝、阻碍统计调查、统计检查的；</w:t>
            </w:r>
          </w:p>
          <w:p w14:paraId="354FE66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left"/>
              <w:textAlignment w:val="auto"/>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（五）转移、隐匿、篡改、毁弃或者拒绝提供原始记录和凭证、统计台账、统计调查表及其他相关证明和资料的。</w:t>
            </w:r>
          </w:p>
          <w:p w14:paraId="18B4CAB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420"/>
              <w:jc w:val="left"/>
              <w:textAlignment w:val="auto"/>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14:paraId="4F932E87">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仿宋" w:hAnsi="仿宋" w:eastAsia="仿宋" w:cs="仿宋"/>
                <w:sz w:val="24"/>
                <w:szCs w:val="24"/>
                <w:vertAlign w:val="baseline"/>
                <w:lang w:val="en-US" w:eastAsia="zh-CN"/>
              </w:rPr>
            </w:pPr>
          </w:p>
        </w:tc>
        <w:tc>
          <w:tcPr>
            <w:tcW w:w="1241" w:type="dxa"/>
            <w:vAlign w:val="center"/>
          </w:tcPr>
          <w:p w14:paraId="1150B630">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山西省汾西县统计局</w:t>
            </w:r>
          </w:p>
        </w:tc>
        <w:tc>
          <w:tcPr>
            <w:tcW w:w="1039" w:type="dxa"/>
            <w:vAlign w:val="center"/>
          </w:tcPr>
          <w:p w14:paraId="1DC88825">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山西省汾西县统计局</w:t>
            </w:r>
          </w:p>
        </w:tc>
        <w:tc>
          <w:tcPr>
            <w:tcW w:w="736" w:type="dxa"/>
            <w:vAlign w:val="center"/>
          </w:tcPr>
          <w:p w14:paraId="5817B530">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32"/>
                <w:szCs w:val="32"/>
                <w:vertAlign w:val="baseline"/>
                <w:lang w:val="en-US" w:eastAsia="zh-CN"/>
              </w:rPr>
            </w:pPr>
          </w:p>
        </w:tc>
      </w:tr>
      <w:tr w14:paraId="5763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0FF7839A">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2056" w:type="dxa"/>
            <w:vAlign w:val="center"/>
          </w:tcPr>
          <w:p w14:paraId="2383B2FA">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i w:val="0"/>
                <w:iCs w:val="0"/>
                <w:caps w:val="0"/>
                <w:color w:val="212529"/>
                <w:spacing w:val="0"/>
                <w:sz w:val="24"/>
                <w:szCs w:val="24"/>
                <w:shd w:val="clear" w:fill="FFFFFF"/>
              </w:rPr>
              <w:t>对迟报统计资料，或者未按照国家有关规定设置原始记录、统计台账的处罚</w:t>
            </w:r>
          </w:p>
        </w:tc>
        <w:tc>
          <w:tcPr>
            <w:tcW w:w="1173" w:type="dxa"/>
            <w:vAlign w:val="center"/>
          </w:tcPr>
          <w:p w14:paraId="27CB4132">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w:t>
            </w:r>
          </w:p>
          <w:p w14:paraId="51834673">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处罚</w:t>
            </w:r>
          </w:p>
          <w:p w14:paraId="6197E365">
            <w:pPr>
              <w:bidi w:val="0"/>
              <w:rPr>
                <w:rFonts w:hint="eastAsia" w:asciiTheme="minorHAnsi" w:hAnsiTheme="minorHAnsi" w:eastAsiaTheme="minorEastAsia" w:cstheme="minorBidi"/>
                <w:kern w:val="2"/>
                <w:sz w:val="21"/>
                <w:szCs w:val="24"/>
                <w:lang w:val="en-US" w:eastAsia="zh-CN" w:bidi="ar-SA"/>
              </w:rPr>
            </w:pPr>
          </w:p>
          <w:p w14:paraId="08906DB5">
            <w:pPr>
              <w:bidi w:val="0"/>
              <w:rPr>
                <w:rFonts w:hint="eastAsia"/>
                <w:lang w:val="en-US" w:eastAsia="zh-CN"/>
              </w:rPr>
            </w:pPr>
          </w:p>
          <w:p w14:paraId="397EA1A6">
            <w:pPr>
              <w:bidi w:val="0"/>
              <w:rPr>
                <w:rFonts w:hint="eastAsia"/>
                <w:lang w:val="en-US" w:eastAsia="zh-CN"/>
              </w:rPr>
            </w:pPr>
          </w:p>
          <w:p w14:paraId="05DD6ECB">
            <w:pPr>
              <w:bidi w:val="0"/>
              <w:rPr>
                <w:rFonts w:hint="eastAsia"/>
                <w:lang w:val="en-US" w:eastAsia="zh-CN"/>
              </w:rPr>
            </w:pPr>
          </w:p>
          <w:p w14:paraId="71C805E4">
            <w:pPr>
              <w:bidi w:val="0"/>
              <w:jc w:val="center"/>
              <w:rPr>
                <w:rFonts w:hint="eastAsia"/>
                <w:lang w:val="en-US" w:eastAsia="zh-CN"/>
              </w:rPr>
            </w:pPr>
          </w:p>
        </w:tc>
        <w:tc>
          <w:tcPr>
            <w:tcW w:w="7268" w:type="dxa"/>
            <w:vAlign w:val="center"/>
          </w:tcPr>
          <w:p w14:paraId="7840CE5F">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212529"/>
                <w:spacing w:val="0"/>
                <w:sz w:val="24"/>
                <w:szCs w:val="24"/>
                <w:shd w:val="clear" w:fill="FFFFFF"/>
              </w:rPr>
              <w:t>《中华人民共和国统计法》第四十二条</w:t>
            </w:r>
            <w:r>
              <w:rPr>
                <w:rFonts w:hint="eastAsia" w:ascii="仿宋" w:hAnsi="仿宋" w:eastAsia="仿宋" w:cs="仿宋"/>
                <w:i w:val="0"/>
                <w:iCs w:val="0"/>
                <w:caps w:val="0"/>
                <w:color w:val="212529"/>
                <w:spacing w:val="0"/>
                <w:sz w:val="24"/>
                <w:szCs w:val="24"/>
                <w:shd w:val="clear" w:fill="FFFFFF"/>
                <w:lang w:eastAsia="zh-CN"/>
              </w:rPr>
              <w:t>：</w:t>
            </w:r>
            <w:r>
              <w:rPr>
                <w:rFonts w:hint="eastAsia" w:ascii="仿宋" w:hAnsi="仿宋" w:eastAsia="仿宋" w:cs="仿宋"/>
                <w:i w:val="0"/>
                <w:iCs w:val="0"/>
                <w:caps w:val="0"/>
                <w:color w:val="212529"/>
                <w:spacing w:val="0"/>
                <w:sz w:val="24"/>
                <w:szCs w:val="24"/>
                <w:shd w:val="clear" w:fill="FFFFFF"/>
              </w:rPr>
              <w:t>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p>
        </w:tc>
        <w:tc>
          <w:tcPr>
            <w:tcW w:w="1241" w:type="dxa"/>
            <w:vAlign w:val="center"/>
          </w:tcPr>
          <w:p w14:paraId="3B768583">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山西省汾西县统计局</w:t>
            </w:r>
          </w:p>
        </w:tc>
        <w:tc>
          <w:tcPr>
            <w:tcW w:w="1039" w:type="dxa"/>
            <w:vAlign w:val="center"/>
          </w:tcPr>
          <w:p w14:paraId="16F3ED28">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山西省汾西县统计局</w:t>
            </w:r>
          </w:p>
        </w:tc>
        <w:tc>
          <w:tcPr>
            <w:tcW w:w="736" w:type="dxa"/>
            <w:vAlign w:val="center"/>
          </w:tcPr>
          <w:p w14:paraId="21FE09E6">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32"/>
                <w:szCs w:val="32"/>
                <w:vertAlign w:val="baseline"/>
                <w:lang w:val="en-US" w:eastAsia="zh-CN"/>
              </w:rPr>
            </w:pPr>
          </w:p>
        </w:tc>
      </w:tr>
      <w:tr w14:paraId="084B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14:paraId="43C4C7F9">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2056" w:type="dxa"/>
            <w:vAlign w:val="center"/>
          </w:tcPr>
          <w:p w14:paraId="6F190690">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i w:val="0"/>
                <w:iCs w:val="0"/>
                <w:caps w:val="0"/>
                <w:color w:val="212529"/>
                <w:spacing w:val="0"/>
                <w:sz w:val="24"/>
                <w:szCs w:val="24"/>
                <w:shd w:val="clear" w:fill="FFFFFF"/>
              </w:rPr>
              <w:t>对检查对象的有关原始记录和凭证、统计台账、统计调查表、会计资料及其他相关证明和资料进行登记保存的行政强制措施</w:t>
            </w:r>
          </w:p>
        </w:tc>
        <w:tc>
          <w:tcPr>
            <w:tcW w:w="1173" w:type="dxa"/>
            <w:vAlign w:val="center"/>
          </w:tcPr>
          <w:p w14:paraId="26A4FB16">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行政</w:t>
            </w:r>
          </w:p>
          <w:p w14:paraId="433723D5">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强制</w:t>
            </w:r>
          </w:p>
        </w:tc>
        <w:tc>
          <w:tcPr>
            <w:tcW w:w="7268" w:type="dxa"/>
            <w:vAlign w:val="center"/>
          </w:tcPr>
          <w:p w14:paraId="7F1A558B">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left"/>
              <w:textAlignment w:val="auto"/>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《中华人民共和国统计法》第三十五条</w:t>
            </w:r>
            <w:r>
              <w:rPr>
                <w:rFonts w:hint="eastAsia" w:ascii="仿宋" w:hAnsi="仿宋" w:eastAsia="仿宋" w:cs="仿宋"/>
                <w:i w:val="0"/>
                <w:iCs w:val="0"/>
                <w:caps w:val="0"/>
                <w:color w:val="212529"/>
                <w:spacing w:val="0"/>
                <w:sz w:val="24"/>
                <w:szCs w:val="24"/>
                <w:shd w:val="clear" w:fill="FFFFFF"/>
                <w:lang w:eastAsia="zh-CN"/>
              </w:rPr>
              <w:t>：</w:t>
            </w:r>
            <w:r>
              <w:rPr>
                <w:rFonts w:hint="eastAsia" w:ascii="仿宋" w:hAnsi="仿宋" w:eastAsia="仿宋" w:cs="仿宋"/>
                <w:i w:val="0"/>
                <w:iCs w:val="0"/>
                <w:caps w:val="0"/>
                <w:color w:val="212529"/>
                <w:spacing w:val="0"/>
                <w:sz w:val="24"/>
                <w:szCs w:val="24"/>
                <w:shd w:val="clear" w:fill="FFFFFF"/>
              </w:rPr>
              <w:t>县级以上人民政府统计机构在调查统计违法行为或者核查统计数据时，有权采取下列措施：　　</w:t>
            </w:r>
          </w:p>
          <w:p w14:paraId="6065663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0"/>
              <w:jc w:val="left"/>
              <w:textAlignment w:val="auto"/>
              <w:rPr>
                <w:rFonts w:hint="eastAsia" w:ascii="仿宋" w:hAnsi="仿宋" w:eastAsia="仿宋" w:cs="仿宋"/>
                <w:i w:val="0"/>
                <w:iCs w:val="0"/>
                <w:caps w:val="0"/>
                <w:color w:val="212529"/>
                <w:spacing w:val="0"/>
                <w:sz w:val="24"/>
                <w:szCs w:val="24"/>
              </w:rPr>
            </w:pPr>
            <w:r>
              <w:rPr>
                <w:rFonts w:hint="eastAsia" w:ascii="仿宋" w:hAnsi="仿宋" w:eastAsia="仿宋" w:cs="仿宋"/>
                <w:i w:val="0"/>
                <w:iCs w:val="0"/>
                <w:caps w:val="0"/>
                <w:color w:val="212529"/>
                <w:spacing w:val="0"/>
                <w:sz w:val="24"/>
                <w:szCs w:val="24"/>
                <w:shd w:val="clear" w:fill="FFFFFF"/>
              </w:rPr>
              <w:t>（五）经本机构负责人批准，登记保存检查对象的有关原始记录和凭证、统计台账、统计调查表、会计资料及其他相关证明和资料。</w:t>
            </w:r>
          </w:p>
          <w:p w14:paraId="1D6FBBD8">
            <w:pPr>
              <w:keepNext w:val="0"/>
              <w:keepLines w:val="0"/>
              <w:pageBreakBefore w:val="0"/>
              <w:kinsoku/>
              <w:wordWrap/>
              <w:overflowPunct/>
              <w:topLinePunct w:val="0"/>
              <w:autoSpaceDE/>
              <w:autoSpaceDN/>
              <w:bidi w:val="0"/>
              <w:adjustRightInd/>
              <w:snapToGrid/>
              <w:spacing w:beforeAutospacing="0" w:afterAutospacing="0"/>
              <w:jc w:val="left"/>
              <w:textAlignment w:val="auto"/>
              <w:rPr>
                <w:rFonts w:hint="eastAsia" w:ascii="仿宋" w:hAnsi="仿宋" w:eastAsia="仿宋" w:cs="仿宋"/>
                <w:sz w:val="24"/>
                <w:szCs w:val="24"/>
                <w:vertAlign w:val="baseline"/>
                <w:lang w:val="en-US" w:eastAsia="zh-CN"/>
              </w:rPr>
            </w:pPr>
          </w:p>
        </w:tc>
        <w:tc>
          <w:tcPr>
            <w:tcW w:w="1241" w:type="dxa"/>
            <w:vAlign w:val="center"/>
          </w:tcPr>
          <w:p w14:paraId="091A3903">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山西省汾西县统计局</w:t>
            </w:r>
          </w:p>
        </w:tc>
        <w:tc>
          <w:tcPr>
            <w:tcW w:w="1039" w:type="dxa"/>
            <w:vAlign w:val="center"/>
          </w:tcPr>
          <w:p w14:paraId="37B7A8AF">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24"/>
                <w:szCs w:val="24"/>
                <w:vertAlign w:val="baseline"/>
                <w:lang w:val="en-US" w:eastAsia="zh-CN"/>
              </w:rPr>
              <w:t>山西省汾西县统计局</w:t>
            </w:r>
          </w:p>
        </w:tc>
        <w:tc>
          <w:tcPr>
            <w:tcW w:w="736" w:type="dxa"/>
            <w:vAlign w:val="center"/>
          </w:tcPr>
          <w:p w14:paraId="5DE9C327">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 w:hAnsi="仿宋" w:eastAsia="仿宋" w:cs="仿宋"/>
                <w:sz w:val="32"/>
                <w:szCs w:val="32"/>
                <w:vertAlign w:val="baseline"/>
                <w:lang w:val="en-US" w:eastAsia="zh-CN"/>
              </w:rPr>
            </w:pPr>
          </w:p>
        </w:tc>
      </w:tr>
    </w:tbl>
    <w:p w14:paraId="030C500D">
      <w:pPr>
        <w:keepNext w:val="0"/>
        <w:keepLines w:val="0"/>
        <w:pageBreakBefore w:val="0"/>
        <w:kinsoku/>
        <w:wordWrap/>
        <w:overflowPunct/>
        <w:topLinePunct w:val="0"/>
        <w:autoSpaceDE/>
        <w:autoSpaceDN/>
        <w:bidi w:val="0"/>
        <w:adjustRightInd/>
        <w:snapToGrid/>
        <w:spacing w:beforeAutospacing="0" w:afterAutospacing="0"/>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Mjc4NDVjODkzODRlMjljYmFkM2Y5YWE1NjU4ODkifQ=="/>
  </w:docVars>
  <w:rsids>
    <w:rsidRoot w:val="1C9256D3"/>
    <w:rsid w:val="0438795D"/>
    <w:rsid w:val="07177C01"/>
    <w:rsid w:val="09237D86"/>
    <w:rsid w:val="1AA72BF2"/>
    <w:rsid w:val="1C9256D3"/>
    <w:rsid w:val="23FE3883"/>
    <w:rsid w:val="2AAA0764"/>
    <w:rsid w:val="337F1137"/>
    <w:rsid w:val="3CB274A9"/>
    <w:rsid w:val="40523799"/>
    <w:rsid w:val="40982007"/>
    <w:rsid w:val="4AFF7D5D"/>
    <w:rsid w:val="57EC78BB"/>
    <w:rsid w:val="58C85C32"/>
    <w:rsid w:val="59E22D24"/>
    <w:rsid w:val="6742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1256</Words>
  <Characters>1273</Characters>
  <Lines>0</Lines>
  <Paragraphs>0</Paragraphs>
  <TotalTime>15</TotalTime>
  <ScaleCrop>false</ScaleCrop>
  <LinksUpToDate>false</LinksUpToDate>
  <CharactersWithSpaces>1362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2024-08-06T01:52:00Z</dcterms:created>
  <dc:creator>薇雨青蕪</dc:creator>
  <cp:lastModifiedBy>薇雨青蕪</cp:lastModifiedBy>
  <cp:lastPrinted>2024-10-14T08:52:37Z</cp:lastPrinted>
  <dcterms:modified xsi:type="dcterms:W3CDTF">2024-10-15T01:16:34Z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0ACB90C516184E11BB512EA853EBD30B_13</vt:lpwstr>
  </property>
</Properties>
</file>