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汾西县养老机构消防安全标准化管理评分标准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</w:t>
      </w:r>
    </w:p>
    <w:tbl>
      <w:tblPr>
        <w:tblStyle w:val="6"/>
        <w:tblW w:w="151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9"/>
        <w:gridCol w:w="758"/>
        <w:gridCol w:w="2979"/>
        <w:gridCol w:w="7800"/>
        <w:gridCol w:w="720"/>
        <w:gridCol w:w="13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内容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评分标准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以下均为扣完本项分值为止）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扣分说明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建筑消防合法性和使用情况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建筑消防合法性情况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核查是否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依法办理消防审核、消防验收等消防行政许可或备案手续的。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改建、扩建、变更用途和内部装饰装修，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依法取得相关手续。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建筑物或场所的使用功能一致性情况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建筑物或场所的实际使用情况与消防验收、竣工验收备案、消防安全检査时确定的使用性质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相符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17" w:lineRule="exact"/>
              <w:ind w:left="30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建筑防火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总平面布局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消防安全布局不符合要求的不得分，防火间距不符合要求的每处扣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平面布置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重要/特殊房间或场所的平面布置不符合要求的不得分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涉及危险化学品储存的场所危险化学品仓库不符合要求的，不得分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防火分隔、安全疏散不符合要求的每处扣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灭火救援设施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消防车道、消防救援场地、消防救援窗口、消防电梯不符合要求的每处扣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防火、防烟分区及构造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防火、防烟分区划分不符合要求的每处扣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防火、防烟分隔设施或构造不符合要求的每处扣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防火封堵不符合要求的每处扣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安全疏散和避难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安全出口数量、疏散宽度、疏散距离、疏散楼梯间形式不符合要求的每处扣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疏散门、避难层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间）、避难走道、下沉式广场的设置不符合要求的每处扣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建筑内部装修和外墙保温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装修及保温材料选型不符合要求的不得分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对消防及疏散设施的影响不符合要求的每处扣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建筑防爆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爆炸危险区域的防爆措施不符合要求的每处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防爆产品的选型及设置不符合要求的每处扣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消防设施及器材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消防供配电设施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供配电负荷等级不符合要求的不得分，消防用电设备供电形式、电缆选型及防火保护不符合要求的每处扣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分，自备发电机组不符合要求的每处扣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火灾自动报警系统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color w:val="000000"/>
          <w:sz w:val="2"/>
          <w:szCs w:val="2"/>
        </w:rPr>
      </w:pPr>
      <w:r>
        <w:rPr>
          <w:rFonts w:hint="eastAsia" w:ascii="宋体" w:hAnsi="宋体" w:eastAsia="宋体" w:cs="宋体"/>
          <w:color w:val="000000"/>
        </w:rPr>
        <w:br w:type="page"/>
      </w:r>
    </w:p>
    <w:tbl>
      <w:tblPr>
        <w:tblStyle w:val="6"/>
        <w:tblW w:w="151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8"/>
        <w:gridCol w:w="763"/>
        <w:gridCol w:w="1277"/>
        <w:gridCol w:w="1925"/>
        <w:gridCol w:w="7572"/>
        <w:gridCol w:w="735"/>
        <w:gridCol w:w="13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内容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评分标准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以下均为扣完本项分值为止）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扣分说明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消防设施及器材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消防供水设施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消火栓系统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自动喷水灭火系统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防烟排烟系统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消防应急照明和疏散指示系统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防火分隔设施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灭火器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其他消防设施、器材、产品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气体灭火系统</w:t>
            </w:r>
          </w:p>
        </w:tc>
        <w:tc>
          <w:tcPr>
            <w:tcW w:w="75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系统设置、选型不符合消防技术标准的每处扣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分，未保持完好有效的每处扣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气体灭火系统的防护区、贮瓶间等不符合消防技术标准的每处扣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水喷雾灭火系统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细水雾灭火系统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泡沫灭火系统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干粉灭火系统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电气火灾监控系统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消防电源监控系统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可燃气体探测系统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  <w:tc>
          <w:tcPr>
            <w:tcW w:w="75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消防设施维护保养及年度检测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未开展消防设施维保的不得分；未定期开展年度检测的扣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分，未定期开展维保的每缺少一次扣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消防工作组织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未明确消防安全管理部门、消防安全责任人、消防安全管理人的不得分，消防安全责任制落实不到位的每处扣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分，消防安全责任人、消防安全管理人履责不到位的每处扣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消防安全制度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未制定相关制度和操作规程的每缺少一项扣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分，制度和操作规程内容不符合单位实际情况的每项扣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分，制度未落实的每处扣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color w:val="000000"/>
          <w:sz w:val="2"/>
          <w:szCs w:val="2"/>
        </w:rPr>
      </w:pPr>
      <w:r>
        <w:rPr>
          <w:rFonts w:hint="eastAsia" w:ascii="宋体" w:hAnsi="宋体" w:eastAsia="宋体" w:cs="宋体"/>
          <w:color w:val="000000"/>
        </w:rPr>
        <w:br w:type="page"/>
      </w:r>
    </w:p>
    <w:tbl>
      <w:tblPr>
        <w:tblStyle w:val="6"/>
        <w:tblW w:w="15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0"/>
        <w:gridCol w:w="731"/>
        <w:gridCol w:w="2761"/>
        <w:gridCol w:w="8025"/>
        <w:gridCol w:w="735"/>
        <w:gridCol w:w="1336"/>
      </w:tblGrid>
      <w:tr>
        <w:trPr>
          <w:trHeight w:val="457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内容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评分标准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以下均为扣完本项分值为止）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扣分说明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消防安全管理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防火巡査检査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检査频次不足的扣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分，检查内容、记录不齐全的扣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分。未组织员工开展每日岗位防火检査和营业结束防火检査的扣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火灾隐患整改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对能够当场改正的火灾隐患未及时督促整改的扣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分；对不能当场改正的火灾隐患，未逐级报告、制定整改方案、落实整改资金、采取防范措施的扣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消防控制室管理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消防控制室值班人员持证数量、等级不足的每人扣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分，消控室值班人员专业技能不熟练的每人扣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分，消防控制室管理制度、工作记录不完善的每处扣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消防安全重点部位管理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未明确消防安全重点部位的不得分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重点部位管理制度、标识不完善的每处扣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明火作业审批、现场看护情况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单位未建立并执行动火作业审批制度的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；行动火作业前未落实风险管控措施消除隐患的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；动火作业人员未持证上岗的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；动火作业未落实现场看护的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；明火作业区域消防管理不到位的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扣1分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用电消防安全管理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未建立相关制度、规程的不得分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特殊工种人员未持证上岗的不得分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电气线路/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的设置不符合要求的每处扣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合用建筑管理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未明确消防安全统一管理部门的不得分；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未明确各方消防安全责任的不得分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消防安全责任人、管理人、专职消防人员接受消防培训情况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消防安全责任人、消防安全管理人和专职消防管理人员未接受专门培训的每人扣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每年定期组织职工进行消防培训，以及对职工进行岗前消防安全培训情况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未每半年组织员工进行消防培训的扣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分；未组织新进、转岗员工开展上岗前消防安全培训的扣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分；员工未掌握岗位消防知识的每人扣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0,5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分；相关演练培训记录、图片未留存的扣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职工懂得基本消防常识，会査改本岗位火灾隐患和扑救初起火灾、会疏散逃生情况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职工不掌握基本消防常识，不会查改本岗位火灾隐患的，不会扑救初起火灾，不会疏散逃生的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每发现一人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扣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灭火和应急疏散预案及演练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未制定灭火和应急疏散预案的不得分，未开展预案演练的不得分，演练频次不足的扣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专职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志愿）消防队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未依法建立专职消防队或志愿消防队的不得分，消防队人员未定期开展业务培训、演练的扣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分，人员技能不熟练每人扣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微型消防站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未依法设置微型消防站的不得分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制度、人员、装备配置不符合要求或损坏的扣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分，微型消防站人员技能不熟练每人扣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分，其他问题每处扣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1" w:lineRule="exact"/>
        <w:rPr>
          <w:rFonts w:hint="default" w:ascii="Times New Roman" w:hAnsi="Times New Roman" w:eastAsia="仿宋_GB2312" w:cs="Times New Roman"/>
          <w:color w:val="000000"/>
          <w:sz w:val="2"/>
          <w:szCs w:val="2"/>
        </w:rPr>
      </w:pPr>
      <w:r>
        <w:rPr>
          <w:rFonts w:hint="default" w:ascii="Times New Roman" w:hAnsi="Times New Roman" w:eastAsia="仿宋_GB2312" w:cs="Times New Roman"/>
          <w:color w:val="000000"/>
        </w:rPr>
        <w:br w:type="page"/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8"/>
        <w:gridCol w:w="758"/>
        <w:gridCol w:w="3202"/>
        <w:gridCol w:w="6754"/>
        <w:gridCol w:w="850"/>
        <w:gridCol w:w="20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内容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评分标准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以下均为扣完本项分值为止）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20"/>
                <w:szCs w:val="20"/>
              </w:rPr>
              <w:t>扣分说明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加分项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单位投保火灾公众责任险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9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消防安全重点单位消防安全管理人具备注册消防工程师资格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单位全面采用智慧用电监测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rPr>
          <w:trHeight w:val="2335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否决项</w:t>
            </w:r>
          </w:p>
        </w:tc>
        <w:tc>
          <w:tcPr>
            <w:tcW w:w="10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单位存在以下情形之一时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，直接评定为“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不达标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”：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单位所在建筑物未通过消防验收或竣工验收消防备案；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消防安全重点单位未依法确定消防安全管理人，设有自动消防设施的未确定自动消防系统操作人员；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经消防救援部门责令改正后，同一违法行为反复出现的；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未依法建立专职消防队的；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一年内发生一次较大以上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（含）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火灾或两次以上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（含）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一般火灾的；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单位存在的火灾隐患根据《重大火灾隐患判定方法》（GB35181）应当判定为重大火灾隐患的。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rPr>
          <w:trHeight w:val="639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总分</w:t>
            </w:r>
          </w:p>
        </w:tc>
        <w:tc>
          <w:tcPr>
            <w:tcW w:w="13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8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13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63"/>
              </w:tabs>
              <w:bidi w:val="0"/>
              <w:spacing w:before="0" w:after="6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总分为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得分在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分及以上的为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”，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分以下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分及以上的为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良好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”，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分以下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60分及以上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的为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一般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”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60分以下的为“差”；</w:t>
            </w:r>
          </w:p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63"/>
              </w:tabs>
              <w:bidi w:val="0"/>
              <w:spacing w:before="0" w:after="6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评估釆用现场检査、设备测试、资料査阅、人员询问等方式进行；</w:t>
            </w:r>
          </w:p>
          <w:p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63"/>
              </w:tabs>
              <w:bidi w:val="0"/>
              <w:spacing w:before="0" w:after="6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存在加分项的，总分上限仍为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分；</w:t>
            </w:r>
          </w:p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单位不存在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内容的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即缺项），不予扣分。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</w:rPr>
      </w:pPr>
    </w:p>
    <w:sectPr>
      <w:footerReference r:id="rId5" w:type="default"/>
      <w:pgSz w:w="16838" w:h="11906" w:orient="landscape"/>
      <w:pgMar w:top="1293" w:right="1440" w:bottom="835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5320030</wp:posOffset>
              </wp:positionH>
              <wp:positionV relativeFrom="page">
                <wp:posOffset>6853555</wp:posOffset>
              </wp:positionV>
              <wp:extent cx="73025" cy="82550"/>
              <wp:effectExtent l="0" t="0" r="0" b="0"/>
              <wp:wrapNone/>
              <wp:docPr id="4098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" cy="82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4" o:spid="_x0000_s1026" o:spt="1" style="position:absolute;left:0pt;margin-left:418.9pt;margin-top:539.65pt;height:6.5pt;width: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dumj2AAAAA0BAAAPAAAA&#10;AAAAAAEAIAAAACIAAABkcnMvZG93bnJldi54bWxQSwECFAAUAAAACACHTuJAVN9/TqMBAABcAwAA&#10;DgAAAAAAAAABACAAAAAn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II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FmMDY5NWFkMWNiYjI2ZDdmNzc5MTNlYWU5ZjAifQ=="/>
  </w:docVars>
  <w:rsids>
    <w:rsidRoot w:val="00000000"/>
    <w:rsid w:val="1DE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520" w:line="62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color w:val="2C2C2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color w:val="2C2C2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color w:val="2C2C2C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3200</Words>
  <Characters>3384</Characters>
  <Paragraphs>407</Paragraphs>
  <TotalTime>11</TotalTime>
  <ScaleCrop>false</ScaleCrop>
  <LinksUpToDate>false</LinksUpToDate>
  <CharactersWithSpaces>3459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2023-07-18T09:53:00Z</dcterms:created>
  <dc:creator>乐乐乐翻天</dc:creator>
  <cp:lastModifiedBy>国强我就强</cp:lastModifiedBy>
  <cp:lastPrinted>2023-08-02T01:52:00Z</cp:lastPrinted>
  <dcterms:modified xsi:type="dcterms:W3CDTF">2023-12-18T04:03:52Z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C36165D29C4842B581586D9D166EC468_13</vt:lpwstr>
  </property>
</Properties>
</file>