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1394">
      <w:pPr>
        <w:rPr>
          <w:rFonts w:hint="eastAsia" w:ascii="黑体" w:hAnsi="黑体" w:eastAsia="黑体" w:cs="黑体"/>
          <w:spacing w:val="-4"/>
          <w:sz w:val="32"/>
          <w:szCs w:val="32"/>
          <w:lang w:eastAsia="zh-CN"/>
        </w:rPr>
      </w:pPr>
      <w:bookmarkStart w:id="0" w:name="_GoBack"/>
      <w:bookmarkEnd w:id="0"/>
      <w:r>
        <w:rPr>
          <w:rFonts w:hint="eastAsia" w:ascii="黑体" w:hAnsi="黑体" w:eastAsia="黑体" w:cs="黑体"/>
          <w:spacing w:val="-4"/>
          <w:sz w:val="32"/>
          <w:szCs w:val="32"/>
        </w:rPr>
        <w:t>附件</w:t>
      </w:r>
      <w:r>
        <w:rPr>
          <w:rFonts w:hint="eastAsia" w:ascii="黑体" w:hAnsi="黑体" w:eastAsia="黑体" w:cs="黑体"/>
          <w:spacing w:val="-4"/>
          <w:sz w:val="32"/>
          <w:szCs w:val="32"/>
          <w:lang w:eastAsia="zh-CN"/>
        </w:rPr>
        <w:t>3</w:t>
      </w:r>
    </w:p>
    <w:p w14:paraId="46DCFFD7">
      <w:pPr>
        <w:spacing w:before="69" w:line="254" w:lineRule="auto"/>
        <w:ind w:left="5195" w:right="302" w:hanging="4871"/>
        <w:jc w:val="center"/>
        <w:rPr>
          <w:rFonts w:hint="default" w:ascii="Times New Roman" w:hAnsi="Times New Roman" w:eastAsia="方正小标宋_GBK" w:cs="Times New Roman"/>
          <w:b w:val="0"/>
          <w:bCs w:val="0"/>
          <w:spacing w:val="-9"/>
          <w:sz w:val="44"/>
          <w:szCs w:val="44"/>
          <w:lang w:eastAsia="zh-CN"/>
        </w:rPr>
      </w:pPr>
      <w:r>
        <w:rPr>
          <w:rFonts w:hint="default" w:ascii="Times New Roman" w:hAnsi="Times New Roman" w:eastAsia="方正小标宋_GBK" w:cs="Times New Roman"/>
          <w:b w:val="0"/>
          <w:bCs w:val="0"/>
          <w:spacing w:val="-9"/>
          <w:sz w:val="44"/>
          <w:szCs w:val="44"/>
          <w:lang w:eastAsia="zh-CN"/>
        </w:rPr>
        <w:t>汾西县乡镇人民政府行政执法事项清单</w:t>
      </w:r>
    </w:p>
    <w:tbl>
      <w:tblPr>
        <w:tblStyle w:val="12"/>
        <w:tblpPr w:leftFromText="180" w:rightFromText="180" w:vertAnchor="text" w:horzAnchor="page" w:tblpXSpec="center" w:tblpY="353"/>
        <w:tblOverlap w:val="never"/>
        <w:tblW w:w="496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803"/>
        <w:gridCol w:w="1616"/>
        <w:gridCol w:w="1284"/>
        <w:gridCol w:w="4623"/>
        <w:gridCol w:w="1558"/>
        <w:gridCol w:w="1958"/>
        <w:gridCol w:w="947"/>
      </w:tblGrid>
      <w:tr w14:paraId="04A91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tcBorders>
              <w:bottom w:val="single" w:color="auto" w:sz="4" w:space="0"/>
            </w:tcBorders>
            <w:vAlign w:val="center"/>
          </w:tcPr>
          <w:p w14:paraId="274FA43D">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序号</w:t>
            </w:r>
          </w:p>
        </w:tc>
        <w:tc>
          <w:tcPr>
            <w:tcW w:w="631" w:type="pct"/>
            <w:tcBorders>
              <w:bottom w:val="single" w:color="auto" w:sz="4" w:space="0"/>
            </w:tcBorders>
            <w:vAlign w:val="center"/>
          </w:tcPr>
          <w:p w14:paraId="355C766D">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事项名称</w:t>
            </w:r>
          </w:p>
        </w:tc>
        <w:tc>
          <w:tcPr>
            <w:tcW w:w="501" w:type="pct"/>
            <w:tcBorders>
              <w:bottom w:val="single" w:color="auto" w:sz="4" w:space="0"/>
            </w:tcBorders>
            <w:vAlign w:val="center"/>
          </w:tcPr>
          <w:p w14:paraId="37380B44">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事项类型</w:t>
            </w:r>
          </w:p>
        </w:tc>
        <w:tc>
          <w:tcPr>
            <w:tcW w:w="1807" w:type="pct"/>
            <w:tcBorders>
              <w:bottom w:val="single" w:color="auto" w:sz="4" w:space="0"/>
            </w:tcBorders>
            <w:vAlign w:val="center"/>
          </w:tcPr>
          <w:p w14:paraId="7C14F71B">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事项依据</w:t>
            </w:r>
          </w:p>
        </w:tc>
        <w:tc>
          <w:tcPr>
            <w:tcW w:w="609" w:type="pct"/>
            <w:tcBorders>
              <w:bottom w:val="single" w:color="auto" w:sz="4" w:space="0"/>
            </w:tcBorders>
            <w:vAlign w:val="center"/>
          </w:tcPr>
          <w:p w14:paraId="4B58CAFB">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责任主体</w:t>
            </w:r>
          </w:p>
        </w:tc>
        <w:tc>
          <w:tcPr>
            <w:tcW w:w="765" w:type="pct"/>
            <w:tcBorders>
              <w:bottom w:val="single" w:color="auto" w:sz="4" w:space="0"/>
            </w:tcBorders>
            <w:vAlign w:val="center"/>
          </w:tcPr>
          <w:p w14:paraId="286FE8E9">
            <w:pPr>
              <w:overflowPunct w:val="0"/>
              <w:spacing w:line="32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实施主体</w:t>
            </w:r>
          </w:p>
        </w:tc>
        <w:tc>
          <w:tcPr>
            <w:tcW w:w="370" w:type="pct"/>
            <w:tcBorders>
              <w:bottom w:val="single" w:color="auto" w:sz="4" w:space="0"/>
            </w:tcBorders>
            <w:vAlign w:val="center"/>
          </w:tcPr>
          <w:p w14:paraId="6846F16F">
            <w:pPr>
              <w:overflowPunct w:val="0"/>
              <w:spacing w:line="32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备注</w:t>
            </w:r>
          </w:p>
        </w:tc>
      </w:tr>
      <w:tr w14:paraId="2B2C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40" w:hRule="exact"/>
          <w:jc w:val="center"/>
        </w:trPr>
        <w:tc>
          <w:tcPr>
            <w:tcW w:w="313" w:type="pct"/>
            <w:tcBorders>
              <w:top w:val="single" w:color="auto" w:sz="4" w:space="0"/>
              <w:left w:val="single" w:color="auto" w:sz="4" w:space="0"/>
              <w:bottom w:val="single" w:color="auto" w:sz="4" w:space="0"/>
            </w:tcBorders>
            <w:shd w:val="clear" w:color="auto" w:fill="auto"/>
            <w:vAlign w:val="center"/>
          </w:tcPr>
          <w:p w14:paraId="650D93B4">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w:t>
            </w:r>
          </w:p>
        </w:tc>
        <w:tc>
          <w:tcPr>
            <w:tcW w:w="631" w:type="pct"/>
            <w:tcBorders>
              <w:top w:val="single" w:color="auto" w:sz="4" w:space="0"/>
              <w:bottom w:val="single" w:color="auto" w:sz="4" w:space="0"/>
            </w:tcBorders>
            <w:shd w:val="clear" w:color="auto" w:fill="auto"/>
            <w:vAlign w:val="center"/>
          </w:tcPr>
          <w:p w14:paraId="54E840D3">
            <w:pP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对农村居民未经批准或者违反规划的规定建住宅的行政处罚</w:t>
            </w:r>
          </w:p>
        </w:tc>
        <w:tc>
          <w:tcPr>
            <w:tcW w:w="501" w:type="pct"/>
            <w:tcBorders>
              <w:top w:val="single" w:color="auto" w:sz="4" w:space="0"/>
              <w:bottom w:val="single" w:color="auto" w:sz="4" w:space="0"/>
            </w:tcBorders>
            <w:shd w:val="clear" w:color="auto" w:fill="auto"/>
            <w:vAlign w:val="center"/>
          </w:tcPr>
          <w:p w14:paraId="6D0BAFB9">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行政处罚</w:t>
            </w:r>
          </w:p>
        </w:tc>
        <w:tc>
          <w:tcPr>
            <w:tcW w:w="1807" w:type="pct"/>
            <w:tcBorders>
              <w:top w:val="single" w:color="auto" w:sz="4" w:space="0"/>
              <w:bottom w:val="single" w:color="auto" w:sz="4" w:space="0"/>
            </w:tcBorders>
            <w:shd w:val="clear" w:color="auto" w:fill="auto"/>
            <w:vAlign w:val="center"/>
          </w:tcPr>
          <w:p w14:paraId="74613A93">
            <w:pPr>
              <w:textAlignment w:val="center"/>
              <w:rPr>
                <w:rFonts w:hint="default" w:ascii="Times New Roman" w:hAnsi="Times New Roman" w:eastAsia="仿宋_GB2312" w:cs="Times New Roman"/>
                <w:sz w:val="24"/>
                <w:szCs w:val="24"/>
                <w:lang w:eastAsia="zh-CN"/>
              </w:rPr>
            </w:pPr>
            <w:r>
              <w:rPr>
                <w:rStyle w:val="14"/>
                <w:rFonts w:hint="default" w:ascii="Times New Roman" w:hAnsi="Times New Roman" w:eastAsia="仿宋_GB2312" w:cs="Times New Roman"/>
                <w:sz w:val="24"/>
                <w:szCs w:val="24"/>
                <w:lang w:eastAsia="zh-CN" w:bidi="ar"/>
              </w:rPr>
              <w:t>【行政法规】《村庄和集镇规划建设管理条例》（1993年国务院令第116号）</w:t>
            </w:r>
            <w:r>
              <w:rPr>
                <w:rStyle w:val="14"/>
                <w:rFonts w:hint="default" w:ascii="Times New Roman" w:hAnsi="Times New Roman" w:eastAsia="仿宋_GB2312" w:cs="Times New Roman"/>
                <w:sz w:val="24"/>
                <w:szCs w:val="24"/>
                <w:lang w:eastAsia="zh-CN" w:bidi="ar"/>
              </w:rPr>
              <w:br w:type="textWrapping"/>
            </w:r>
            <w:r>
              <w:rPr>
                <w:rStyle w:val="14"/>
                <w:rFonts w:hint="default" w:ascii="Times New Roman" w:hAnsi="Times New Roman" w:eastAsia="仿宋_GB2312" w:cs="Times New Roman"/>
                <w:sz w:val="24"/>
                <w:szCs w:val="24"/>
                <w:lang w:eastAsia="zh-CN" w:bidi="ar"/>
              </w:rPr>
              <w:t xml:space="preserve">         </w:t>
            </w:r>
            <w:r>
              <w:rPr>
                <w:rStyle w:val="15"/>
                <w:rFonts w:hint="default" w:ascii="Times New Roman" w:hAnsi="Times New Roman" w:eastAsia="仿宋_GB2312" w:cs="Times New Roman"/>
                <w:sz w:val="24"/>
                <w:szCs w:val="24"/>
                <w:lang w:eastAsia="zh-CN" w:bidi="ar"/>
              </w:rPr>
              <w:t>第三十七条第一款</w:t>
            </w:r>
            <w:r>
              <w:rPr>
                <w:rStyle w:val="14"/>
                <w:rFonts w:hint="default" w:ascii="Times New Roman" w:hAnsi="Times New Roman" w:eastAsia="仿宋_GB2312" w:cs="Times New Roman"/>
                <w:sz w:val="24"/>
                <w:szCs w:val="24"/>
                <w:lang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w:t>
            </w:r>
            <w:r>
              <w:rPr>
                <w:rStyle w:val="14"/>
                <w:rFonts w:hint="default" w:ascii="Times New Roman" w:hAnsi="Times New Roman" w:eastAsia="仿宋_GB2312" w:cs="Times New Roman"/>
                <w:spacing w:val="-6"/>
                <w:sz w:val="24"/>
                <w:szCs w:val="24"/>
                <w:lang w:eastAsia="zh-CN" w:bidi="ar"/>
              </w:rPr>
              <w:t>人民政府建设行政主管部门责令限期改正，</w:t>
            </w:r>
            <w:r>
              <w:rPr>
                <w:rStyle w:val="14"/>
                <w:rFonts w:hint="default" w:ascii="Times New Roman" w:hAnsi="Times New Roman" w:eastAsia="仿宋_GB2312" w:cs="Times New Roman"/>
                <w:sz w:val="24"/>
                <w:szCs w:val="24"/>
                <w:lang w:eastAsia="zh-CN" w:bidi="ar"/>
              </w:rPr>
              <w:t>处以罚款。</w:t>
            </w:r>
            <w:r>
              <w:rPr>
                <w:rStyle w:val="14"/>
                <w:rFonts w:hint="default" w:ascii="Times New Roman" w:hAnsi="Times New Roman" w:eastAsia="仿宋_GB2312" w:cs="Times New Roman"/>
                <w:sz w:val="24"/>
                <w:szCs w:val="24"/>
                <w:lang w:eastAsia="zh-CN" w:bidi="ar"/>
              </w:rPr>
              <w:br w:type="textWrapping"/>
            </w:r>
            <w:r>
              <w:rPr>
                <w:rStyle w:val="14"/>
                <w:rFonts w:hint="default" w:ascii="Times New Roman" w:hAnsi="Times New Roman" w:eastAsia="仿宋_GB2312" w:cs="Times New Roman"/>
                <w:sz w:val="24"/>
                <w:szCs w:val="24"/>
                <w:lang w:eastAsia="zh-CN" w:bidi="ar"/>
              </w:rPr>
              <w:t xml:space="preserve">        </w:t>
            </w:r>
            <w:r>
              <w:rPr>
                <w:rStyle w:val="15"/>
                <w:rFonts w:hint="default" w:ascii="Times New Roman" w:hAnsi="Times New Roman" w:eastAsia="仿宋_GB2312" w:cs="Times New Roman"/>
                <w:sz w:val="24"/>
                <w:szCs w:val="24"/>
                <w:lang w:eastAsia="zh-CN" w:bidi="ar"/>
              </w:rPr>
              <w:t>第三十七条第二款</w:t>
            </w:r>
            <w:r>
              <w:rPr>
                <w:rStyle w:val="15"/>
                <w:rFonts w:hint="default" w:ascii="Times New Roman" w:hAnsi="Times New Roman" w:eastAsia="仿宋_GB2312" w:cs="Times New Roman"/>
                <w:b w:val="0"/>
                <w:bCs w:val="0"/>
                <w:sz w:val="24"/>
                <w:szCs w:val="24"/>
                <w:lang w:eastAsia="zh-CN" w:bidi="ar"/>
              </w:rPr>
              <w:t xml:space="preserve"> </w:t>
            </w:r>
            <w:r>
              <w:rPr>
                <w:rStyle w:val="14"/>
                <w:rFonts w:hint="default" w:ascii="Times New Roman" w:hAnsi="Times New Roman" w:eastAsia="仿宋_GB2312" w:cs="Times New Roman"/>
                <w:sz w:val="24"/>
                <w:szCs w:val="24"/>
                <w:lang w:eastAsia="zh-CN" w:bidi="ar"/>
              </w:rPr>
              <w:t xml:space="preserve"> 农村居民未经批准或者违反规划的规定建住宅的，乡级人民政府可以依照前款规定处罚。</w:t>
            </w:r>
          </w:p>
        </w:tc>
        <w:tc>
          <w:tcPr>
            <w:tcW w:w="609" w:type="pct"/>
            <w:tcBorders>
              <w:top w:val="single" w:color="auto" w:sz="4" w:space="0"/>
              <w:bottom w:val="single" w:color="auto" w:sz="4" w:space="0"/>
            </w:tcBorders>
            <w:shd w:val="clear" w:color="auto" w:fill="auto"/>
            <w:vAlign w:val="center"/>
          </w:tcPr>
          <w:p w14:paraId="511108AC">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乡镇人民政府</w:t>
            </w:r>
          </w:p>
        </w:tc>
        <w:tc>
          <w:tcPr>
            <w:tcW w:w="765" w:type="pct"/>
            <w:tcBorders>
              <w:top w:val="single" w:color="auto" w:sz="4" w:space="0"/>
              <w:bottom w:val="single" w:color="auto" w:sz="4" w:space="0"/>
            </w:tcBorders>
            <w:shd w:val="clear" w:color="auto" w:fill="auto"/>
            <w:vAlign w:val="center"/>
          </w:tcPr>
          <w:p w14:paraId="15867E49">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乡镇人民政府</w:t>
            </w:r>
          </w:p>
        </w:tc>
        <w:tc>
          <w:tcPr>
            <w:tcW w:w="370" w:type="pct"/>
            <w:tcBorders>
              <w:top w:val="single" w:color="auto" w:sz="4" w:space="0"/>
              <w:bottom w:val="single" w:color="auto" w:sz="4" w:space="0"/>
              <w:right w:val="single" w:color="auto" w:sz="4" w:space="0"/>
            </w:tcBorders>
            <w:shd w:val="clear" w:color="auto" w:fill="auto"/>
            <w:vAlign w:val="center"/>
          </w:tcPr>
          <w:p w14:paraId="63A77B27">
            <w:pPr>
              <w:pStyle w:val="13"/>
              <w:overflowPunct w:val="0"/>
              <w:spacing w:line="320" w:lineRule="exact"/>
              <w:jc w:val="center"/>
              <w:rPr>
                <w:rFonts w:hint="default" w:ascii="Times New Roman" w:hAnsi="Times New Roman" w:eastAsia="仿宋_GB2312" w:cs="Times New Roman"/>
                <w:sz w:val="24"/>
                <w:szCs w:val="24"/>
              </w:rPr>
            </w:pPr>
          </w:p>
        </w:tc>
      </w:tr>
      <w:tr w14:paraId="7F33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tcBorders>
              <w:top w:val="single" w:color="auto" w:sz="4" w:space="0"/>
              <w:left w:val="single" w:color="auto" w:sz="4" w:space="0"/>
              <w:bottom w:val="single" w:color="auto" w:sz="4" w:space="0"/>
            </w:tcBorders>
            <w:shd w:val="clear" w:color="auto" w:fill="auto"/>
            <w:vAlign w:val="center"/>
          </w:tcPr>
          <w:p w14:paraId="65AEA2F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tcBorders>
              <w:top w:val="single" w:color="auto" w:sz="4" w:space="0"/>
              <w:bottom w:val="single" w:color="auto" w:sz="4" w:space="0"/>
            </w:tcBorders>
            <w:shd w:val="clear" w:color="auto" w:fill="auto"/>
            <w:vAlign w:val="center"/>
          </w:tcPr>
          <w:p w14:paraId="2F4B1AA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tcBorders>
              <w:top w:val="single" w:color="auto" w:sz="4" w:space="0"/>
              <w:bottom w:val="single" w:color="auto" w:sz="4" w:space="0"/>
            </w:tcBorders>
            <w:shd w:val="clear" w:color="auto" w:fill="auto"/>
            <w:vAlign w:val="center"/>
          </w:tcPr>
          <w:p w14:paraId="5681B84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tcBorders>
              <w:top w:val="single" w:color="auto" w:sz="4" w:space="0"/>
              <w:bottom w:val="single" w:color="auto" w:sz="4" w:space="0"/>
            </w:tcBorders>
            <w:shd w:val="clear" w:color="auto" w:fill="auto"/>
            <w:vAlign w:val="center"/>
          </w:tcPr>
          <w:p w14:paraId="224C2D8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tcBorders>
              <w:top w:val="single" w:color="auto" w:sz="4" w:space="0"/>
              <w:bottom w:val="single" w:color="auto" w:sz="4" w:space="0"/>
            </w:tcBorders>
            <w:shd w:val="clear" w:color="auto" w:fill="auto"/>
            <w:vAlign w:val="center"/>
          </w:tcPr>
          <w:p w14:paraId="682C38E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tcBorders>
              <w:top w:val="single" w:color="auto" w:sz="4" w:space="0"/>
              <w:bottom w:val="single" w:color="auto" w:sz="4" w:space="0"/>
            </w:tcBorders>
            <w:shd w:val="clear" w:color="auto" w:fill="auto"/>
            <w:vAlign w:val="center"/>
          </w:tcPr>
          <w:p w14:paraId="7347056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tcBorders>
              <w:top w:val="single" w:color="auto" w:sz="4" w:space="0"/>
              <w:bottom w:val="single" w:color="auto" w:sz="4" w:space="0"/>
              <w:right w:val="single" w:color="auto" w:sz="4" w:space="0"/>
            </w:tcBorders>
            <w:shd w:val="clear" w:color="auto" w:fill="auto"/>
            <w:vAlign w:val="center"/>
          </w:tcPr>
          <w:p w14:paraId="6C2C8D3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28EB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770" w:hRule="atLeast"/>
          <w:jc w:val="center"/>
        </w:trPr>
        <w:tc>
          <w:tcPr>
            <w:tcW w:w="313" w:type="pct"/>
            <w:tcBorders>
              <w:top w:val="single" w:color="auto" w:sz="4" w:space="0"/>
            </w:tcBorders>
            <w:vAlign w:val="center"/>
          </w:tcPr>
          <w:p w14:paraId="62C5C20C">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w:t>
            </w:r>
          </w:p>
        </w:tc>
        <w:tc>
          <w:tcPr>
            <w:tcW w:w="631" w:type="pct"/>
            <w:tcBorders>
              <w:top w:val="single" w:color="auto" w:sz="4" w:space="0"/>
            </w:tcBorders>
            <w:vAlign w:val="center"/>
          </w:tcPr>
          <w:p w14:paraId="57B2440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对损坏村庄和集镇的房屋、公共设施或乱</w:t>
            </w:r>
            <w:r>
              <w:rPr>
                <w:rFonts w:hint="default" w:ascii="Times New Roman" w:hAnsi="Times New Roman" w:eastAsia="仿宋_GB2312" w:cs="Times New Roman"/>
                <w:spacing w:val="-28"/>
                <w:sz w:val="24"/>
                <w:szCs w:val="24"/>
                <w:lang w:eastAsia="zh-CN" w:bidi="ar"/>
              </w:rPr>
              <w:t>堆粪便、垃圾、</w:t>
            </w:r>
            <w:r>
              <w:rPr>
                <w:rFonts w:hint="default" w:ascii="Times New Roman" w:hAnsi="Times New Roman" w:eastAsia="仿宋_GB2312" w:cs="Times New Roman"/>
                <w:sz w:val="24"/>
                <w:szCs w:val="24"/>
                <w:lang w:eastAsia="zh-CN" w:bidi="ar"/>
              </w:rPr>
              <w:t>柴草，破坏村容镇貌和环境卫生的行政处罚</w:t>
            </w:r>
          </w:p>
        </w:tc>
        <w:tc>
          <w:tcPr>
            <w:tcW w:w="501" w:type="pct"/>
            <w:tcBorders>
              <w:top w:val="single" w:color="auto" w:sz="4" w:space="0"/>
            </w:tcBorders>
            <w:vAlign w:val="center"/>
          </w:tcPr>
          <w:p w14:paraId="6CE81861">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行政处罚</w:t>
            </w:r>
          </w:p>
        </w:tc>
        <w:tc>
          <w:tcPr>
            <w:tcW w:w="1807" w:type="pct"/>
            <w:tcBorders>
              <w:top w:val="single" w:color="auto" w:sz="4" w:space="0"/>
            </w:tcBorders>
            <w:vAlign w:val="center"/>
          </w:tcPr>
          <w:p w14:paraId="1EFC33A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【行政法规】《村庄和集镇规划建设管理条例》（1993年国务院令第116号）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第三十九条 </w:t>
            </w:r>
            <w:r>
              <w:rPr>
                <w:rFonts w:hint="default" w:ascii="Times New Roman" w:hAnsi="Times New Roman" w:eastAsia="仿宋_GB2312" w:cs="Times New Roman"/>
                <w:sz w:val="24"/>
                <w:szCs w:val="24"/>
                <w:lang w:eastAsia="zh-CN" w:bidi="ar"/>
              </w:rPr>
              <w:t xml:space="preserve"> 有下列行为之一的，由乡</w:t>
            </w:r>
            <w:r>
              <w:rPr>
                <w:rFonts w:hint="default" w:ascii="Times New Roman" w:hAnsi="Times New Roman" w:eastAsia="仿宋_GB2312" w:cs="Times New Roman"/>
                <w:spacing w:val="-6"/>
                <w:sz w:val="24"/>
                <w:szCs w:val="24"/>
                <w:lang w:eastAsia="zh-CN" w:bidi="ar"/>
              </w:rPr>
              <w:t>级人民政府责令停止侵害，可以处以罚款；</w:t>
            </w:r>
            <w:r>
              <w:rPr>
                <w:rFonts w:hint="default" w:ascii="Times New Roman" w:hAnsi="Times New Roman" w:eastAsia="仿宋_GB2312" w:cs="Times New Roman"/>
                <w:sz w:val="24"/>
                <w:szCs w:val="24"/>
                <w:lang w:eastAsia="zh-CN" w:bidi="ar"/>
              </w:rPr>
              <w:t>造成损失的，并应当赔偿：（一）损坏村庄和集镇的房屋、公共设施的；（二）乱堆粪便、垃圾、柴草，破坏村容镇貌和环境卫生的。</w:t>
            </w:r>
          </w:p>
        </w:tc>
        <w:tc>
          <w:tcPr>
            <w:tcW w:w="609" w:type="pct"/>
            <w:tcBorders>
              <w:top w:val="single" w:color="auto" w:sz="4" w:space="0"/>
            </w:tcBorders>
            <w:vAlign w:val="center"/>
          </w:tcPr>
          <w:p w14:paraId="4C567598">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tcBorders>
              <w:top w:val="single" w:color="auto" w:sz="4" w:space="0"/>
            </w:tcBorders>
            <w:vAlign w:val="center"/>
          </w:tcPr>
          <w:p w14:paraId="2BEA1F96">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tcBorders>
              <w:top w:val="single" w:color="auto" w:sz="4" w:space="0"/>
            </w:tcBorders>
            <w:vAlign w:val="center"/>
          </w:tcPr>
          <w:p w14:paraId="4FCA8F63">
            <w:pPr>
              <w:jc w:val="center"/>
              <w:textAlignment w:val="center"/>
              <w:rPr>
                <w:rFonts w:hint="default" w:ascii="Times New Roman" w:hAnsi="Times New Roman" w:eastAsia="仿宋_GB2312" w:cs="Times New Roman"/>
                <w:sz w:val="24"/>
                <w:szCs w:val="24"/>
                <w:lang w:eastAsia="zh-CN" w:bidi="ar"/>
              </w:rPr>
            </w:pPr>
          </w:p>
        </w:tc>
      </w:tr>
      <w:tr w14:paraId="015BF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176" w:hRule="atLeast"/>
          <w:jc w:val="center"/>
        </w:trPr>
        <w:tc>
          <w:tcPr>
            <w:tcW w:w="313" w:type="pct"/>
            <w:vAlign w:val="center"/>
          </w:tcPr>
          <w:p w14:paraId="75E2473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3</w:t>
            </w:r>
          </w:p>
        </w:tc>
        <w:tc>
          <w:tcPr>
            <w:tcW w:w="631" w:type="pct"/>
            <w:vAlign w:val="center"/>
          </w:tcPr>
          <w:p w14:paraId="04D262C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对单位和个人损坏或者擅自移动有钉螺地带警示标志的行政处罚</w:t>
            </w:r>
          </w:p>
        </w:tc>
        <w:tc>
          <w:tcPr>
            <w:tcW w:w="501" w:type="pct"/>
            <w:vAlign w:val="center"/>
          </w:tcPr>
          <w:p w14:paraId="1623E122">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行政处罚</w:t>
            </w:r>
          </w:p>
        </w:tc>
        <w:tc>
          <w:tcPr>
            <w:tcW w:w="1807" w:type="pct"/>
            <w:vAlign w:val="center"/>
          </w:tcPr>
          <w:p w14:paraId="7980865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w:t>
            </w:r>
            <w:r>
              <w:rPr>
                <w:rFonts w:hint="default" w:ascii="Times New Roman" w:hAnsi="Times New Roman" w:eastAsia="仿宋_GB2312" w:cs="Times New Roman"/>
                <w:spacing w:val="17"/>
                <w:sz w:val="24"/>
                <w:szCs w:val="24"/>
                <w:lang w:eastAsia="zh-CN" w:bidi="ar"/>
              </w:rPr>
              <w:t xml:space="preserve">血吸虫病防治条例》    </w:t>
            </w:r>
            <w:r>
              <w:rPr>
                <w:rFonts w:hint="default" w:ascii="Times New Roman" w:hAnsi="Times New Roman" w:eastAsia="仿宋_GB2312" w:cs="Times New Roman"/>
                <w:sz w:val="24"/>
                <w:szCs w:val="24"/>
                <w:lang w:eastAsia="zh-CN" w:bidi="ar"/>
              </w:rPr>
              <w:t>（2006年国务院令第463号，2019年修订）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第五十一条</w:t>
            </w:r>
            <w:r>
              <w:rPr>
                <w:rFonts w:hint="default" w:ascii="Times New Roman" w:hAnsi="Times New Roman" w:eastAsia="仿宋_GB2312" w:cs="Times New Roman"/>
                <w:sz w:val="24"/>
                <w:szCs w:val="24"/>
                <w:lang w:eastAsia="zh-CN" w:bidi="ar"/>
              </w:rPr>
              <w:t>　 单位和个人损坏或者擅</w:t>
            </w:r>
            <w:r>
              <w:rPr>
                <w:rFonts w:hint="default" w:ascii="Times New Roman" w:hAnsi="Times New Roman" w:eastAsia="仿宋_GB2312" w:cs="Times New Roman"/>
                <w:spacing w:val="-6"/>
                <w:sz w:val="24"/>
                <w:szCs w:val="24"/>
                <w:lang w:eastAsia="zh-CN" w:bidi="ar"/>
              </w:rPr>
              <w:t>自移动有钉螺地带警示标志的，由乡（镇）</w:t>
            </w:r>
            <w:r>
              <w:rPr>
                <w:rFonts w:hint="default" w:ascii="Times New Roman" w:hAnsi="Times New Roman" w:eastAsia="仿宋_GB2312" w:cs="Times New Roman"/>
                <w:sz w:val="24"/>
                <w:szCs w:val="24"/>
                <w:lang w:eastAsia="zh-CN" w:bidi="ar"/>
              </w:rPr>
              <w:t>人民政府责令修复或者赔偿损失，给予警告；情节严重的，对单位处1000元以上3000元以下的罚款，对个人处50元以上200元以下的罚款。</w:t>
            </w:r>
          </w:p>
        </w:tc>
        <w:tc>
          <w:tcPr>
            <w:tcW w:w="609" w:type="pct"/>
            <w:vAlign w:val="center"/>
          </w:tcPr>
          <w:p w14:paraId="52AF22F4">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23DCD90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6A7E10EB">
            <w:pPr>
              <w:jc w:val="center"/>
              <w:textAlignment w:val="center"/>
              <w:rPr>
                <w:rFonts w:hint="default" w:ascii="Times New Roman" w:hAnsi="Times New Roman" w:eastAsia="仿宋_GB2312" w:cs="Times New Roman"/>
                <w:sz w:val="24"/>
                <w:szCs w:val="24"/>
                <w:lang w:eastAsia="zh-CN" w:bidi="ar"/>
              </w:rPr>
            </w:pPr>
          </w:p>
        </w:tc>
      </w:tr>
      <w:tr w14:paraId="3D6A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6A65CAC6">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536A05B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545A756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2FB4D8A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10B32DDE">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0D841E2F">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499FB216">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4F35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74" w:hRule="exact"/>
          <w:jc w:val="center"/>
        </w:trPr>
        <w:tc>
          <w:tcPr>
            <w:tcW w:w="313" w:type="pct"/>
            <w:vAlign w:val="center"/>
          </w:tcPr>
          <w:p w14:paraId="400C019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4</w:t>
            </w:r>
          </w:p>
        </w:tc>
        <w:tc>
          <w:tcPr>
            <w:tcW w:w="631" w:type="pct"/>
            <w:vAlign w:val="center"/>
          </w:tcPr>
          <w:p w14:paraId="27A4B73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对农村村民非法占用土地建住宅的行政处罚</w:t>
            </w:r>
          </w:p>
        </w:tc>
        <w:tc>
          <w:tcPr>
            <w:tcW w:w="501" w:type="pct"/>
            <w:vAlign w:val="center"/>
          </w:tcPr>
          <w:p w14:paraId="7515D6B4">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行政处罚</w:t>
            </w:r>
          </w:p>
        </w:tc>
        <w:tc>
          <w:tcPr>
            <w:tcW w:w="1807" w:type="pct"/>
            <w:vAlign w:val="center"/>
          </w:tcPr>
          <w:p w14:paraId="61DA9EC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【法律】《中华人民共和国土地管理法》</w:t>
            </w:r>
          </w:p>
          <w:p w14:paraId="1B0A9EB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（2019年修正）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第七十八条 </w:t>
            </w:r>
            <w:r>
              <w:rPr>
                <w:rFonts w:hint="default" w:ascii="Times New Roman" w:hAnsi="Times New Roman" w:eastAsia="仿宋_GB2312" w:cs="Times New Roman"/>
                <w:sz w:val="24"/>
                <w:szCs w:val="24"/>
                <w:lang w:eastAsia="zh-CN" w:bidi="ar"/>
              </w:rPr>
              <w:t xml:space="preserve"> 农村村民未经批准或者采取欺骗手段骗取批准，非法占用土地建住宅的，由县级以上人民政府农业农村主管部门责令退还非法占用的土地，限期拆除</w:t>
            </w:r>
            <w:r>
              <w:rPr>
                <w:rFonts w:hint="default" w:ascii="Times New Roman" w:hAnsi="Times New Roman" w:eastAsia="仿宋_GB2312" w:cs="Times New Roman"/>
                <w:spacing w:val="-6"/>
                <w:sz w:val="24"/>
                <w:szCs w:val="24"/>
                <w:lang w:eastAsia="zh-CN" w:bidi="ar"/>
              </w:rPr>
              <w:t>在非法占用的土地上新建的房屋。超过省、</w:t>
            </w:r>
            <w:r>
              <w:rPr>
                <w:rFonts w:hint="default" w:ascii="Times New Roman" w:hAnsi="Times New Roman" w:eastAsia="仿宋_GB2312" w:cs="Times New Roman"/>
                <w:sz w:val="24"/>
                <w:szCs w:val="24"/>
                <w:lang w:eastAsia="zh-CN" w:bidi="ar"/>
              </w:rPr>
              <w:t>自治区、直辖市规定的标准，多占的土地以非法占用土地论处。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【规范性文件】《山西省人民政府关于赋予乡镇人民政府和街道办事处农村村民非法占用土地建住宅行政执法权的通告》</w:t>
            </w:r>
          </w:p>
          <w:p w14:paraId="0177016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（晋政函〔2022〕4号）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一、乡镇人民政府（街道办事处）负责本行政区域内农房建设日常巡查监管，受理群众举报和投诉；发现农村村民非法占用土地建住宅的，应责令停止建设、限期改正，逾期不改正的，依法向人民法院申请强制执行。</w:t>
            </w:r>
          </w:p>
        </w:tc>
        <w:tc>
          <w:tcPr>
            <w:tcW w:w="609" w:type="pct"/>
            <w:vAlign w:val="center"/>
          </w:tcPr>
          <w:p w14:paraId="4D7DDE74">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70CBE2A7">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58C31628">
            <w:pPr>
              <w:jc w:val="center"/>
              <w:textAlignment w:val="center"/>
              <w:rPr>
                <w:rFonts w:hint="default" w:ascii="Times New Roman" w:hAnsi="Times New Roman" w:eastAsia="仿宋_GB2312" w:cs="Times New Roman"/>
                <w:sz w:val="24"/>
                <w:szCs w:val="24"/>
                <w:lang w:eastAsia="zh-CN" w:bidi="ar"/>
              </w:rPr>
            </w:pPr>
          </w:p>
        </w:tc>
      </w:tr>
      <w:tr w14:paraId="4D024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49DB6043">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60BD129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390454C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55B6469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0D2EAE7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378FC30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24B276E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0498B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59" w:hRule="exact"/>
          <w:jc w:val="center"/>
        </w:trPr>
        <w:tc>
          <w:tcPr>
            <w:tcW w:w="313" w:type="pct"/>
            <w:vAlign w:val="center"/>
          </w:tcPr>
          <w:p w14:paraId="5E59D89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5</w:t>
            </w:r>
          </w:p>
        </w:tc>
        <w:tc>
          <w:tcPr>
            <w:tcW w:w="631" w:type="pct"/>
            <w:vAlign w:val="center"/>
          </w:tcPr>
          <w:p w14:paraId="37D74AF6">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对未经批准损坏村道及村道设施的行政处罚</w:t>
            </w:r>
          </w:p>
        </w:tc>
        <w:tc>
          <w:tcPr>
            <w:tcW w:w="501" w:type="pct"/>
            <w:vAlign w:val="center"/>
          </w:tcPr>
          <w:p w14:paraId="59638FFD">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行政处罚</w:t>
            </w:r>
          </w:p>
        </w:tc>
        <w:tc>
          <w:tcPr>
            <w:tcW w:w="1807" w:type="pct"/>
            <w:vAlign w:val="center"/>
          </w:tcPr>
          <w:p w14:paraId="5B97C7D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pacing w:val="23"/>
                <w:sz w:val="24"/>
                <w:szCs w:val="24"/>
                <w:lang w:eastAsia="zh-CN" w:bidi="ar"/>
              </w:rPr>
              <w:t xml:space="preserve">【地方性法规】《山西省公路条例》 </w:t>
            </w:r>
            <w:r>
              <w:rPr>
                <w:rFonts w:hint="default" w:ascii="Times New Roman" w:hAnsi="Times New Roman" w:eastAsia="仿宋_GB2312" w:cs="Times New Roman"/>
                <w:sz w:val="24"/>
                <w:szCs w:val="24"/>
                <w:lang w:eastAsia="zh-CN" w:bidi="ar"/>
              </w:rPr>
              <w:t>（2013年1月施行）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第五十六条第一款 </w:t>
            </w:r>
            <w:r>
              <w:rPr>
                <w:rFonts w:hint="default" w:ascii="Times New Roman" w:hAnsi="Times New Roman" w:eastAsia="仿宋_GB2312" w:cs="Times New Roman"/>
                <w:sz w:val="24"/>
                <w:szCs w:val="24"/>
                <w:lang w:eastAsia="zh-CN" w:bidi="ar"/>
              </w:rPr>
              <w:t xml:space="preserve"> 村道受国家保护，未经乡（镇）人民政府批准，禁止任何单位和个人从事下列活动：（一）占用、挖</w:t>
            </w:r>
            <w:r>
              <w:rPr>
                <w:rFonts w:hint="default" w:ascii="Times New Roman" w:hAnsi="Times New Roman" w:eastAsia="仿宋_GB2312" w:cs="Times New Roman"/>
                <w:spacing w:val="-6"/>
                <w:sz w:val="24"/>
                <w:szCs w:val="24"/>
                <w:lang w:eastAsia="zh-CN" w:bidi="ar"/>
              </w:rPr>
              <w:t>掘村道；（二）跨越、穿越村道修建桥梁、</w:t>
            </w:r>
            <w:r>
              <w:rPr>
                <w:rFonts w:hint="default" w:ascii="Times New Roman" w:hAnsi="Times New Roman" w:eastAsia="仿宋_GB2312" w:cs="Times New Roman"/>
                <w:sz w:val="24"/>
                <w:szCs w:val="24"/>
                <w:lang w:eastAsia="zh-CN" w:bidi="ar"/>
              </w:rPr>
              <w:t>渡槽或者架设、埋设管线、电缆等设施；（三）履带车、铁轮车或者其他可能损害路面的机具行驶村道，但是履带、铁轮式农业机械在当地田间作业需要在村道上短距离行驶并采取保护措施的除外；</w:t>
            </w:r>
          </w:p>
          <w:p w14:paraId="68DA17E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 xml:space="preserve">（四）设置、移动村道附属设施和标志；（五）超限运输车辆行驶村道；（六）法律、法规禁止的其他活动。  </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第六十五条</w:t>
            </w:r>
            <w:r>
              <w:rPr>
                <w:rFonts w:hint="default" w:ascii="Times New Roman" w:hAnsi="Times New Roman" w:eastAsia="仿宋_GB2312" w:cs="Times New Roman"/>
                <w:sz w:val="24"/>
                <w:szCs w:val="24"/>
                <w:lang w:eastAsia="zh-CN" w:bidi="ar"/>
              </w:rPr>
              <w:t xml:space="preserve">  违反本条例第五十六条第一款规定的，由乡（镇）人民政府责令限期改正；逾期未改正的，处以二百元以上一千元以下罚款。</w:t>
            </w:r>
          </w:p>
        </w:tc>
        <w:tc>
          <w:tcPr>
            <w:tcW w:w="609" w:type="pct"/>
            <w:vAlign w:val="center"/>
          </w:tcPr>
          <w:p w14:paraId="11D518B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37213B95">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10F79195">
            <w:pPr>
              <w:jc w:val="center"/>
              <w:textAlignment w:val="center"/>
              <w:rPr>
                <w:rFonts w:hint="default" w:ascii="Times New Roman" w:hAnsi="Times New Roman" w:eastAsia="仿宋_GB2312" w:cs="Times New Roman"/>
                <w:sz w:val="24"/>
                <w:szCs w:val="24"/>
                <w:lang w:eastAsia="zh-CN" w:bidi="ar"/>
              </w:rPr>
            </w:pPr>
          </w:p>
        </w:tc>
      </w:tr>
      <w:tr w14:paraId="3EE91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68FB8BC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15FFBF73">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0F64EB9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4477582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04A9ABA2">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6087133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246CEF0E">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625F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83" w:hRule="exact"/>
          <w:jc w:val="center"/>
        </w:trPr>
        <w:tc>
          <w:tcPr>
            <w:tcW w:w="313" w:type="pct"/>
            <w:vAlign w:val="center"/>
          </w:tcPr>
          <w:p w14:paraId="725B0436">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6</w:t>
            </w:r>
          </w:p>
        </w:tc>
        <w:tc>
          <w:tcPr>
            <w:tcW w:w="631" w:type="pct"/>
            <w:vAlign w:val="center"/>
          </w:tcPr>
          <w:p w14:paraId="28BD6DA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对在乡、村庄规划区内未依法取得乡村建设规划许可证或者未按照乡村建设规划许可证的规定进行建设的，逾期不改正的强制拆除</w:t>
            </w:r>
          </w:p>
        </w:tc>
        <w:tc>
          <w:tcPr>
            <w:tcW w:w="501" w:type="pct"/>
            <w:vAlign w:val="center"/>
          </w:tcPr>
          <w:p w14:paraId="06235D15">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15B6ACD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【法律】《中华人民共和国城乡规划法》（2019年修正）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第六十五条 </w:t>
            </w:r>
            <w:r>
              <w:rPr>
                <w:rFonts w:hint="default" w:ascii="Times New Roman" w:hAnsi="Times New Roman" w:eastAsia="仿宋_GB2312" w:cs="Times New Roman"/>
                <w:sz w:val="24"/>
                <w:szCs w:val="24"/>
                <w:lang w:eastAsia="zh-CN" w:bidi="ar"/>
              </w:rPr>
              <w:t xml:space="preserve"> 在乡、村庄规划区内未依法取得乡村建设规划许可证或者未按照乡村</w:t>
            </w:r>
            <w:r>
              <w:rPr>
                <w:rFonts w:hint="default" w:ascii="Times New Roman" w:hAnsi="Times New Roman" w:eastAsia="仿宋_GB2312" w:cs="Times New Roman"/>
                <w:spacing w:val="-20"/>
                <w:sz w:val="24"/>
                <w:szCs w:val="24"/>
                <w:lang w:eastAsia="zh-CN" w:bidi="ar"/>
              </w:rPr>
              <w:t>建设规划许可证的规定进行建设的，由乡</w:t>
            </w:r>
            <w:r>
              <w:rPr>
                <w:rFonts w:hint="default" w:ascii="Times New Roman" w:hAnsi="Times New Roman" w:eastAsia="仿宋_GB2312" w:cs="Times New Roman"/>
                <w:sz w:val="24"/>
                <w:szCs w:val="24"/>
                <w:lang w:eastAsia="zh-CN" w:bidi="ar"/>
              </w:rPr>
              <w:t>、镇人民政府责令停止建设、限期改正；逾期不改正的，可以拆除。</w:t>
            </w:r>
          </w:p>
        </w:tc>
        <w:tc>
          <w:tcPr>
            <w:tcW w:w="609" w:type="pct"/>
            <w:vAlign w:val="center"/>
          </w:tcPr>
          <w:p w14:paraId="1C10C4FD">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4A61E97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29454B20">
            <w:pPr>
              <w:jc w:val="center"/>
              <w:textAlignment w:val="center"/>
              <w:rPr>
                <w:rFonts w:hint="default" w:ascii="Times New Roman" w:hAnsi="Times New Roman" w:eastAsia="仿宋_GB2312" w:cs="Times New Roman"/>
                <w:sz w:val="24"/>
                <w:szCs w:val="24"/>
                <w:lang w:eastAsia="zh-CN" w:bidi="ar"/>
              </w:rPr>
            </w:pPr>
          </w:p>
        </w:tc>
      </w:tr>
      <w:tr w14:paraId="64E6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0BC7111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322167C3">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2262904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60260A95">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20F13EB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64D3BF9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42857B8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6307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83" w:hRule="exact"/>
          <w:jc w:val="center"/>
        </w:trPr>
        <w:tc>
          <w:tcPr>
            <w:tcW w:w="313" w:type="pct"/>
            <w:shd w:val="clear" w:color="auto" w:fill="auto"/>
            <w:vAlign w:val="center"/>
          </w:tcPr>
          <w:p w14:paraId="272408D5">
            <w:pPr>
              <w:jc w:val="center"/>
              <w:textAlignment w:val="center"/>
              <w:rPr>
                <w:rFonts w:hint="default" w:ascii="Times New Roman" w:hAnsi="Times New Roman" w:eastAsia="仿宋_GB2312" w:cs="Times New Roman"/>
                <w:snapToGrid w:val="0"/>
                <w:color w:val="000000"/>
                <w:sz w:val="24"/>
                <w:szCs w:val="24"/>
                <w:lang w:val="en-US" w:eastAsia="zh-CN" w:bidi="ar"/>
              </w:rPr>
            </w:pPr>
            <w:r>
              <w:rPr>
                <w:rFonts w:hint="default" w:ascii="Times New Roman" w:hAnsi="Times New Roman" w:eastAsia="仿宋_GB2312" w:cs="Times New Roman"/>
                <w:sz w:val="24"/>
                <w:szCs w:val="24"/>
                <w:lang w:eastAsia="zh-CN" w:bidi="ar"/>
              </w:rPr>
              <w:t>7</w:t>
            </w:r>
          </w:p>
        </w:tc>
        <w:tc>
          <w:tcPr>
            <w:tcW w:w="631" w:type="pct"/>
            <w:shd w:val="clear" w:color="auto" w:fill="auto"/>
            <w:vAlign w:val="center"/>
          </w:tcPr>
          <w:p w14:paraId="2AFD22F9">
            <w:pPr>
              <w:textAlignment w:val="center"/>
              <w:rPr>
                <w:rFonts w:hint="default" w:ascii="Times New Roman" w:hAnsi="Times New Roman" w:eastAsia="仿宋_GB2312" w:cs="Times New Roman"/>
                <w:snapToGrid w:val="0"/>
                <w:color w:val="000000"/>
                <w:sz w:val="24"/>
                <w:szCs w:val="24"/>
                <w:lang w:val="en-US" w:eastAsia="zh-CN" w:bidi="ar"/>
              </w:rPr>
            </w:pPr>
            <w:r>
              <w:rPr>
                <w:rFonts w:hint="default" w:ascii="Times New Roman" w:hAnsi="Times New Roman" w:eastAsia="仿宋_GB2312" w:cs="Times New Roman"/>
                <w:sz w:val="24"/>
                <w:szCs w:val="24"/>
                <w:lang w:eastAsia="zh-CN" w:bidi="ar"/>
              </w:rPr>
              <w:t>对在依法划定的电力设施保护区内修建的建筑物、构筑物或者种植的植物、堆放物品危及电力设施安全的强制拆除、砍伐或者清除</w:t>
            </w:r>
          </w:p>
        </w:tc>
        <w:tc>
          <w:tcPr>
            <w:tcW w:w="501" w:type="pct"/>
            <w:shd w:val="clear" w:color="auto" w:fill="auto"/>
            <w:vAlign w:val="center"/>
          </w:tcPr>
          <w:p w14:paraId="4C3366A0">
            <w:pPr>
              <w:jc w:val="center"/>
              <w:textAlignment w:val="center"/>
              <w:rPr>
                <w:rFonts w:hint="default" w:ascii="Times New Roman" w:hAnsi="Times New Roman" w:eastAsia="仿宋_GB2312" w:cs="Times New Roman"/>
                <w:snapToGrid w:val="0"/>
                <w:color w:val="000000"/>
                <w:sz w:val="24"/>
                <w:szCs w:val="24"/>
                <w:lang w:val="en-US"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40AC68DA">
            <w:pPr>
              <w:jc w:val="both"/>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 xml:space="preserve">  【法律】《中华人民共和国电力法》</w:t>
            </w:r>
          </w:p>
          <w:p w14:paraId="718AC7BF">
            <w:pPr>
              <w:jc w:val="both"/>
              <w:textAlignment w:val="center"/>
              <w:rPr>
                <w:rFonts w:hint="default" w:ascii="Times New Roman" w:hAnsi="Times New Roman" w:eastAsia="仿宋_GB2312" w:cs="Times New Roman"/>
                <w:b/>
                <w:bCs/>
                <w:sz w:val="24"/>
                <w:szCs w:val="24"/>
                <w:lang w:eastAsia="zh-CN" w:bidi="ar"/>
              </w:rPr>
            </w:pPr>
            <w:r>
              <w:rPr>
                <w:rFonts w:hint="default" w:ascii="Times New Roman" w:hAnsi="Times New Roman" w:eastAsia="仿宋_GB2312" w:cs="Times New Roman"/>
                <w:sz w:val="24"/>
                <w:szCs w:val="24"/>
                <w:lang w:eastAsia="zh-CN" w:bidi="ar"/>
              </w:rPr>
              <w:t>（2018年修正）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第五十三条</w:t>
            </w:r>
            <w:r>
              <w:rPr>
                <w:rFonts w:hint="default" w:ascii="Times New Roman" w:hAnsi="Times New Roman" w:eastAsia="仿宋_GB2312" w:cs="Times New Roman"/>
                <w:sz w:val="24"/>
                <w:szCs w:val="24"/>
                <w:lang w:eastAsia="zh-CN" w:bidi="ar"/>
              </w:rPr>
              <w:t>　电力管理部门应当按照国务院有关电力设施保护的规定，对电力设施保护区设立标志。</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在依法划定电力设施保护区前已经种植的植物妨碍电力设施安全的，应当修剪或者砍伐。 </w:t>
            </w:r>
            <w:r>
              <w:rPr>
                <w:rFonts w:hint="default" w:ascii="Times New Roman" w:hAnsi="Times New Roman" w:eastAsia="仿宋_GB2312" w:cs="Times New Roman"/>
                <w:b/>
                <w:bCs/>
                <w:sz w:val="24"/>
                <w:szCs w:val="24"/>
                <w:lang w:eastAsia="zh-CN" w:bidi="ar"/>
              </w:rPr>
              <w:t xml:space="preserve">     </w:t>
            </w:r>
          </w:p>
          <w:p w14:paraId="254FD6F3">
            <w:pPr>
              <w:jc w:val="both"/>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w:t>
            </w:r>
            <w:r>
              <w:rPr>
                <w:rFonts w:hint="default" w:ascii="Times New Roman" w:hAnsi="Times New Roman" w:eastAsia="仿宋_GB2312" w:cs="Times New Roman"/>
                <w:b/>
                <w:bCs/>
                <w:spacing w:val="-11"/>
                <w:sz w:val="24"/>
                <w:szCs w:val="24"/>
                <w:lang w:eastAsia="zh-CN" w:bidi="ar"/>
              </w:rPr>
              <w:t xml:space="preserve">第六十九条  </w:t>
            </w:r>
            <w:r>
              <w:rPr>
                <w:rFonts w:hint="default" w:ascii="Times New Roman" w:hAnsi="Times New Roman" w:eastAsia="仿宋_GB2312" w:cs="Times New Roman"/>
                <w:spacing w:val="-11"/>
                <w:sz w:val="24"/>
                <w:szCs w:val="24"/>
                <w:lang w:eastAsia="zh-CN" w:bidi="ar"/>
              </w:rPr>
              <w:t>违反本法第五十三条规定</w:t>
            </w:r>
            <w:r>
              <w:rPr>
                <w:rFonts w:hint="default" w:ascii="Times New Roman" w:hAnsi="Times New Roman" w:eastAsia="仿宋_GB2312" w:cs="Times New Roman"/>
                <w:sz w:val="24"/>
                <w:szCs w:val="24"/>
                <w:lang w:eastAsia="zh-CN" w:bidi="ar"/>
              </w:rPr>
              <w:t>，</w:t>
            </w:r>
          </w:p>
          <w:p w14:paraId="4EBBBBD8">
            <w:pPr>
              <w:jc w:val="both"/>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在依法划定的电力设施保护区内修建建筑物、构筑物或者种植植物、堆放物品危及电力设施安全的，由当地人民政府责令强制拆除、砍伐或者清除。</w:t>
            </w:r>
          </w:p>
        </w:tc>
        <w:tc>
          <w:tcPr>
            <w:tcW w:w="609" w:type="pct"/>
            <w:vAlign w:val="center"/>
          </w:tcPr>
          <w:p w14:paraId="132220DE">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1F539E7F">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65F42A4D">
            <w:pPr>
              <w:jc w:val="center"/>
              <w:textAlignment w:val="center"/>
              <w:rPr>
                <w:rFonts w:hint="default" w:ascii="Times New Roman" w:hAnsi="Times New Roman" w:eastAsia="仿宋_GB2312" w:cs="Times New Roman"/>
                <w:sz w:val="24"/>
                <w:szCs w:val="24"/>
                <w:lang w:eastAsia="zh-CN" w:bidi="ar"/>
              </w:rPr>
            </w:pPr>
          </w:p>
        </w:tc>
      </w:tr>
      <w:tr w14:paraId="7A53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2C585A63">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7C107873">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0E176B67">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事项类型</w:t>
            </w:r>
          </w:p>
        </w:tc>
        <w:tc>
          <w:tcPr>
            <w:tcW w:w="1807" w:type="pct"/>
            <w:vAlign w:val="center"/>
          </w:tcPr>
          <w:p w14:paraId="3E4D9159">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事项依据</w:t>
            </w:r>
          </w:p>
        </w:tc>
        <w:tc>
          <w:tcPr>
            <w:tcW w:w="609" w:type="pct"/>
            <w:vAlign w:val="center"/>
          </w:tcPr>
          <w:p w14:paraId="51DEB67A">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责任主体</w:t>
            </w:r>
          </w:p>
        </w:tc>
        <w:tc>
          <w:tcPr>
            <w:tcW w:w="765" w:type="pct"/>
            <w:vAlign w:val="center"/>
          </w:tcPr>
          <w:p w14:paraId="1A67AF51">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val="en-US" w:eastAsia="zh-CN"/>
              </w:rPr>
              <w:t>实施主体</w:t>
            </w:r>
          </w:p>
        </w:tc>
        <w:tc>
          <w:tcPr>
            <w:tcW w:w="370" w:type="pct"/>
            <w:vAlign w:val="center"/>
          </w:tcPr>
          <w:p w14:paraId="03D2474E">
            <w:pPr>
              <w:overflowPunct w:val="0"/>
              <w:spacing w:line="320" w:lineRule="exact"/>
              <w:jc w:val="center"/>
              <w:rPr>
                <w:rFonts w:hint="default" w:ascii="Times New Roman" w:hAnsi="Times New Roman" w:eastAsia="仿宋_GB2312" w:cs="Times New Roman"/>
                <w:sz w:val="24"/>
                <w:szCs w:val="24"/>
                <w:lang w:eastAsia="zh-CN" w:bidi="ar"/>
              </w:rPr>
            </w:pPr>
            <w:r>
              <w:rPr>
                <w:rFonts w:hint="default" w:ascii="Times New Roman" w:hAnsi="Times New Roman" w:eastAsia="黑体" w:cs="Times New Roman"/>
                <w:sz w:val="28"/>
                <w:szCs w:val="28"/>
                <w:lang w:eastAsia="zh-CN"/>
              </w:rPr>
              <w:t>备注</w:t>
            </w:r>
          </w:p>
        </w:tc>
      </w:tr>
      <w:tr w14:paraId="5D296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00" w:hRule="exact"/>
          <w:jc w:val="center"/>
        </w:trPr>
        <w:tc>
          <w:tcPr>
            <w:tcW w:w="313" w:type="pct"/>
            <w:vAlign w:val="center"/>
          </w:tcPr>
          <w:p w14:paraId="3C5ED576">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8</w:t>
            </w:r>
          </w:p>
        </w:tc>
        <w:tc>
          <w:tcPr>
            <w:tcW w:w="631" w:type="pct"/>
            <w:vAlign w:val="center"/>
          </w:tcPr>
          <w:p w14:paraId="1D2FE33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对非法种植毒品原植物的制止、铲除</w:t>
            </w:r>
          </w:p>
        </w:tc>
        <w:tc>
          <w:tcPr>
            <w:tcW w:w="501" w:type="pct"/>
            <w:vAlign w:val="center"/>
          </w:tcPr>
          <w:p w14:paraId="512B81AD">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0D1AB08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pacing w:val="23"/>
                <w:sz w:val="24"/>
                <w:szCs w:val="24"/>
                <w:lang w:eastAsia="zh-CN" w:bidi="ar"/>
              </w:rPr>
              <w:t xml:space="preserve">【法律】《中华人民共和国禁毒法》 </w:t>
            </w:r>
            <w:r>
              <w:rPr>
                <w:rFonts w:hint="default" w:ascii="Times New Roman" w:hAnsi="Times New Roman" w:eastAsia="仿宋_GB2312" w:cs="Times New Roman"/>
                <w:sz w:val="24"/>
                <w:szCs w:val="24"/>
                <w:lang w:eastAsia="zh-CN" w:bidi="ar"/>
              </w:rPr>
              <w:t>（2008年6月施行）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第十九条第二款  地方各级人民政府发现非法种植毒品原植物的，应当立即采取措施予以制止、铲除。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【地方性法规】《山西省禁毒条例》</w:t>
            </w:r>
          </w:p>
          <w:p w14:paraId="53F1F27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 xml:space="preserve">（2020年修订）   </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第十七条</w:t>
            </w:r>
            <w:r>
              <w:rPr>
                <w:rFonts w:hint="default" w:ascii="Times New Roman" w:hAnsi="Times New Roman" w:eastAsia="仿宋_GB2312" w:cs="Times New Roman"/>
                <w:sz w:val="24"/>
                <w:szCs w:val="24"/>
                <w:lang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609" w:type="pct"/>
            <w:vAlign w:val="center"/>
          </w:tcPr>
          <w:p w14:paraId="03F0BD5E">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459D80B6">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465F9D7C">
            <w:pPr>
              <w:jc w:val="center"/>
              <w:textAlignment w:val="center"/>
              <w:rPr>
                <w:rFonts w:hint="default" w:ascii="Times New Roman" w:hAnsi="Times New Roman" w:eastAsia="仿宋_GB2312" w:cs="Times New Roman"/>
                <w:sz w:val="24"/>
                <w:szCs w:val="24"/>
                <w:lang w:eastAsia="zh-CN" w:bidi="ar"/>
              </w:rPr>
            </w:pPr>
          </w:p>
        </w:tc>
      </w:tr>
      <w:tr w14:paraId="3F7EF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067D9CF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695DE23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4AB635F6">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3C19751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75D6DE70">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722CB14D">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4930DFCD">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16BA8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48" w:hRule="exact"/>
          <w:jc w:val="center"/>
        </w:trPr>
        <w:tc>
          <w:tcPr>
            <w:tcW w:w="313" w:type="pct"/>
            <w:vAlign w:val="center"/>
          </w:tcPr>
          <w:p w14:paraId="19B85ED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9</w:t>
            </w:r>
          </w:p>
        </w:tc>
        <w:tc>
          <w:tcPr>
            <w:tcW w:w="631" w:type="pct"/>
            <w:vAlign w:val="center"/>
          </w:tcPr>
          <w:p w14:paraId="511B6CB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对防汛遇到阻拦和拖延时的强制实施</w:t>
            </w:r>
          </w:p>
        </w:tc>
        <w:tc>
          <w:tcPr>
            <w:tcW w:w="501" w:type="pct"/>
            <w:vAlign w:val="center"/>
          </w:tcPr>
          <w:p w14:paraId="2425B58B">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55B256E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w:t>
            </w:r>
            <w:r>
              <w:rPr>
                <w:rFonts w:hint="default" w:ascii="Times New Roman" w:hAnsi="Times New Roman" w:eastAsia="仿宋_GB2312" w:cs="Times New Roman"/>
                <w:spacing w:val="-11"/>
                <w:sz w:val="24"/>
                <w:szCs w:val="24"/>
                <w:lang w:eastAsia="zh-CN" w:bidi="ar"/>
              </w:rPr>
              <w:t>《中华人民共和国防汛条例》</w:t>
            </w:r>
            <w:r>
              <w:rPr>
                <w:rFonts w:hint="default" w:ascii="Times New Roman" w:hAnsi="Times New Roman" w:eastAsia="仿宋_GB2312" w:cs="Times New Roman"/>
                <w:sz w:val="24"/>
                <w:szCs w:val="24"/>
                <w:lang w:eastAsia="zh-CN" w:bidi="ar"/>
              </w:rPr>
              <w:t>（2011年修订）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第三十三条第二款</w:t>
            </w:r>
            <w:r>
              <w:rPr>
                <w:rFonts w:hint="default" w:ascii="Times New Roman" w:hAnsi="Times New Roman" w:eastAsia="仿宋_GB2312" w:cs="Times New Roman"/>
                <w:sz w:val="24"/>
                <w:szCs w:val="24"/>
                <w:lang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第三十三条第三款</w:t>
            </w:r>
            <w:r>
              <w:rPr>
                <w:rFonts w:hint="default" w:ascii="Times New Roman" w:hAnsi="Times New Roman" w:eastAsia="仿宋_GB2312" w:cs="Times New Roman"/>
                <w:sz w:val="24"/>
                <w:szCs w:val="24"/>
                <w:lang w:eastAsia="zh-CN" w:bidi="ar"/>
              </w:rPr>
              <w:t xml:space="preserve">  实施上述措施时，任何单位和个人不得阻拦，如遇到阻拦和拖延时，有管辖权的人民政府有权组织强制实施。</w:t>
            </w:r>
          </w:p>
        </w:tc>
        <w:tc>
          <w:tcPr>
            <w:tcW w:w="609" w:type="pct"/>
            <w:vAlign w:val="center"/>
          </w:tcPr>
          <w:p w14:paraId="35BCF21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2C9F9D0B">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0258762F">
            <w:pPr>
              <w:jc w:val="center"/>
              <w:textAlignment w:val="center"/>
              <w:rPr>
                <w:rFonts w:hint="default" w:ascii="Times New Roman" w:hAnsi="Times New Roman" w:eastAsia="仿宋_GB2312" w:cs="Times New Roman"/>
                <w:sz w:val="24"/>
                <w:szCs w:val="24"/>
                <w:lang w:eastAsia="zh-CN" w:bidi="ar"/>
              </w:rPr>
            </w:pPr>
          </w:p>
        </w:tc>
      </w:tr>
      <w:tr w14:paraId="78C4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667" w:hRule="exact"/>
          <w:jc w:val="center"/>
        </w:trPr>
        <w:tc>
          <w:tcPr>
            <w:tcW w:w="313" w:type="pct"/>
            <w:vAlign w:val="center"/>
          </w:tcPr>
          <w:p w14:paraId="0D8AFC21">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10</w:t>
            </w:r>
          </w:p>
        </w:tc>
        <w:tc>
          <w:tcPr>
            <w:tcW w:w="631" w:type="pct"/>
            <w:vAlign w:val="center"/>
          </w:tcPr>
          <w:p w14:paraId="27F72C4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对受到地质灾害威胁情况紧急时的强行避灾疏散</w:t>
            </w:r>
          </w:p>
        </w:tc>
        <w:tc>
          <w:tcPr>
            <w:tcW w:w="501" w:type="pct"/>
            <w:vAlign w:val="center"/>
          </w:tcPr>
          <w:p w14:paraId="506B1CD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383DB3D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【行政法规】《地质灾害防治条例》</w:t>
            </w:r>
          </w:p>
          <w:p w14:paraId="32298CE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 xml:space="preserve">（2003年国务院令第394号） </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第二十九条 </w:t>
            </w:r>
            <w:r>
              <w:rPr>
                <w:rFonts w:hint="default" w:ascii="Times New Roman" w:hAnsi="Times New Roman" w:eastAsia="仿宋_GB2312" w:cs="Times New Roman"/>
                <w:sz w:val="24"/>
                <w:szCs w:val="24"/>
                <w:lang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609" w:type="pct"/>
            <w:vAlign w:val="center"/>
          </w:tcPr>
          <w:p w14:paraId="7F10856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37DA1BA1">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4562C249">
            <w:pPr>
              <w:jc w:val="center"/>
              <w:textAlignment w:val="center"/>
              <w:rPr>
                <w:rFonts w:hint="default" w:ascii="Times New Roman" w:hAnsi="Times New Roman" w:eastAsia="仿宋_GB2312" w:cs="Times New Roman"/>
                <w:sz w:val="24"/>
                <w:szCs w:val="24"/>
                <w:lang w:eastAsia="zh-CN" w:bidi="ar"/>
              </w:rPr>
            </w:pPr>
          </w:p>
        </w:tc>
      </w:tr>
      <w:tr w14:paraId="32904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373AA3B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16CD753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6C7A3AE5">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6905A75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2D8ED763">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29C3E565">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4BB96ED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1357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12" w:hRule="exact"/>
          <w:jc w:val="center"/>
        </w:trPr>
        <w:tc>
          <w:tcPr>
            <w:tcW w:w="313" w:type="pct"/>
            <w:vAlign w:val="center"/>
          </w:tcPr>
          <w:p w14:paraId="1AD8C21B">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11</w:t>
            </w:r>
          </w:p>
        </w:tc>
        <w:tc>
          <w:tcPr>
            <w:tcW w:w="631" w:type="pct"/>
            <w:vAlign w:val="center"/>
          </w:tcPr>
          <w:p w14:paraId="089B5742">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组织饲养动物的单位和个人做好强制免疫</w:t>
            </w:r>
          </w:p>
        </w:tc>
        <w:tc>
          <w:tcPr>
            <w:tcW w:w="501" w:type="pct"/>
            <w:vAlign w:val="center"/>
          </w:tcPr>
          <w:p w14:paraId="4A6F4376">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行政强制</w:t>
            </w:r>
          </w:p>
        </w:tc>
        <w:tc>
          <w:tcPr>
            <w:tcW w:w="1807" w:type="pct"/>
            <w:vAlign w:val="center"/>
          </w:tcPr>
          <w:p w14:paraId="297BE07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【法律】《中华人民共和国动物防疫法》</w:t>
            </w:r>
          </w:p>
          <w:p w14:paraId="105EB32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（2021年修订）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第八条第二款  </w:t>
            </w:r>
            <w:r>
              <w:rPr>
                <w:rFonts w:hint="default" w:ascii="Times New Roman" w:hAnsi="Times New Roman" w:eastAsia="仿宋_GB2312" w:cs="Times New Roman"/>
                <w:sz w:val="24"/>
                <w:szCs w:val="24"/>
                <w:lang w:eastAsia="zh-CN" w:bidi="ar"/>
              </w:rPr>
              <w:t>乡级人民政府、街道办事处组织群众做好本辖区的动物疫病预防与控制工作，村民委员会、居民委员会予以协助。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第十八条第二款 </w:t>
            </w:r>
            <w:r>
              <w:rPr>
                <w:rFonts w:hint="default" w:ascii="Times New Roman" w:hAnsi="Times New Roman" w:eastAsia="仿宋_GB2312" w:cs="Times New Roman"/>
                <w:sz w:val="24"/>
                <w:szCs w:val="24"/>
                <w:lang w:eastAsia="zh-CN" w:bidi="ar"/>
              </w:rPr>
              <w:t xml:space="preserve"> 乡级人民政府、街道办事处组织本辖区饲养动物的单位和个人做好强制免疫，协助做好监督检查；村民委员会、居民委员会协助做好相关工作。</w:t>
            </w:r>
          </w:p>
        </w:tc>
        <w:tc>
          <w:tcPr>
            <w:tcW w:w="609" w:type="pct"/>
            <w:vAlign w:val="center"/>
          </w:tcPr>
          <w:p w14:paraId="1C0AF5E5">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6B88242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60E02E28">
            <w:pPr>
              <w:jc w:val="center"/>
              <w:textAlignment w:val="center"/>
              <w:rPr>
                <w:rFonts w:hint="default" w:ascii="Times New Roman" w:hAnsi="Times New Roman" w:eastAsia="仿宋_GB2312" w:cs="Times New Roman"/>
                <w:sz w:val="24"/>
                <w:szCs w:val="24"/>
                <w:lang w:eastAsia="zh-CN" w:bidi="ar"/>
              </w:rPr>
            </w:pPr>
          </w:p>
        </w:tc>
      </w:tr>
      <w:tr w14:paraId="2AC7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4D49977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2688C30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4FF09EB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7309FA82">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0933802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6B56C15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6D3C62E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6B7EE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83" w:hRule="exact"/>
          <w:jc w:val="center"/>
        </w:trPr>
        <w:tc>
          <w:tcPr>
            <w:tcW w:w="313" w:type="pct"/>
            <w:vAlign w:val="center"/>
          </w:tcPr>
          <w:p w14:paraId="228A5257">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12</w:t>
            </w:r>
          </w:p>
        </w:tc>
        <w:tc>
          <w:tcPr>
            <w:tcW w:w="631" w:type="pct"/>
            <w:vAlign w:val="center"/>
          </w:tcPr>
          <w:p w14:paraId="2F858D6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对生产经营单位安全生产状况的监督检查</w:t>
            </w:r>
          </w:p>
        </w:tc>
        <w:tc>
          <w:tcPr>
            <w:tcW w:w="501" w:type="pct"/>
            <w:vAlign w:val="center"/>
          </w:tcPr>
          <w:p w14:paraId="318D777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1B2BDC2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【法律】《中华人民共和国安全生产法》</w:t>
            </w:r>
          </w:p>
          <w:p w14:paraId="7CAA980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（2021年修正）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第九条第二款 </w:t>
            </w:r>
            <w:r>
              <w:rPr>
                <w:rFonts w:hint="default" w:ascii="Times New Roman" w:hAnsi="Times New Roman" w:eastAsia="仿宋_GB2312" w:cs="Times New Roman"/>
                <w:sz w:val="24"/>
                <w:szCs w:val="24"/>
                <w:lang w:eastAsia="zh-CN" w:bidi="ar"/>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w:t>
            </w:r>
            <w:r>
              <w:rPr>
                <w:rFonts w:hint="default" w:ascii="Times New Roman" w:hAnsi="Times New Roman" w:eastAsia="仿宋_GB2312" w:cs="Times New Roman"/>
                <w:spacing w:val="-6"/>
                <w:sz w:val="24"/>
                <w:szCs w:val="24"/>
                <w:lang w:eastAsia="zh-CN" w:bidi="ar"/>
              </w:rPr>
              <w:t>按照授权依法履行安全生产监督管理职责。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【政府规章】《山西省生产经营单位主要负责人安全生产责任制规定》（2021年省政府令第293号）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第四条第二款 </w:t>
            </w:r>
            <w:r>
              <w:rPr>
                <w:rFonts w:hint="default" w:ascii="Times New Roman" w:hAnsi="Times New Roman" w:eastAsia="仿宋_GB2312" w:cs="Times New Roman"/>
                <w:sz w:val="24"/>
                <w:szCs w:val="24"/>
                <w:lang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609" w:type="pct"/>
            <w:vAlign w:val="center"/>
          </w:tcPr>
          <w:p w14:paraId="3797B4D7">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520163A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1A593625">
            <w:pPr>
              <w:jc w:val="center"/>
              <w:textAlignment w:val="center"/>
              <w:rPr>
                <w:rFonts w:hint="default" w:ascii="Times New Roman" w:hAnsi="Times New Roman" w:eastAsia="仿宋_GB2312" w:cs="Times New Roman"/>
                <w:sz w:val="24"/>
                <w:szCs w:val="24"/>
                <w:lang w:eastAsia="zh-CN" w:bidi="ar"/>
              </w:rPr>
            </w:pPr>
          </w:p>
        </w:tc>
      </w:tr>
      <w:tr w14:paraId="1182D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444A40AE">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2C4BD9D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36318663">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2783A3AB">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3E8AEBD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5CC0F2B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2F9BEDC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519B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21" w:hRule="exact"/>
          <w:jc w:val="center"/>
        </w:trPr>
        <w:tc>
          <w:tcPr>
            <w:tcW w:w="313" w:type="pct"/>
            <w:vAlign w:val="center"/>
          </w:tcPr>
          <w:p w14:paraId="7E1327D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13</w:t>
            </w:r>
          </w:p>
        </w:tc>
        <w:tc>
          <w:tcPr>
            <w:tcW w:w="631" w:type="pct"/>
            <w:vAlign w:val="center"/>
          </w:tcPr>
          <w:p w14:paraId="3FECB13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对本行政区域内农产品生产的检查</w:t>
            </w:r>
          </w:p>
        </w:tc>
        <w:tc>
          <w:tcPr>
            <w:tcW w:w="501" w:type="pct"/>
            <w:vAlign w:val="center"/>
          </w:tcPr>
          <w:p w14:paraId="765818F2">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2CC1E710">
            <w:pPr>
              <w:pStyle w:val="6"/>
              <w:shd w:val="clear" w:color="auto" w:fill="FFFFFF"/>
              <w:spacing w:beforeAutospacing="0" w:afterAutospacing="0" w:line="360" w:lineRule="atLeast"/>
              <w:rPr>
                <w:rFonts w:hint="default" w:ascii="Times New Roman" w:hAnsi="Times New Roman" w:eastAsia="仿宋_GB2312" w:cs="Times New Roman"/>
                <w:szCs w:val="24"/>
              </w:rPr>
            </w:pPr>
            <w:r>
              <w:rPr>
                <w:rFonts w:hint="default" w:ascii="Times New Roman" w:hAnsi="Times New Roman" w:eastAsia="仿宋_GB2312" w:cs="Times New Roman"/>
                <w:szCs w:val="24"/>
                <w:lang w:bidi="ar"/>
              </w:rPr>
              <w:t>【地方性法规】（《山西省农产品质量安全条例》由山西省第十四届人民代表大会常务委</w:t>
            </w:r>
            <w:r>
              <w:rPr>
                <w:rFonts w:hint="default" w:ascii="Times New Roman" w:hAnsi="Times New Roman" w:eastAsia="仿宋_GB2312" w:cs="Times New Roman"/>
                <w:spacing w:val="-11"/>
                <w:szCs w:val="24"/>
                <w:lang w:bidi="ar"/>
              </w:rPr>
              <w:t>员会第五次会议于2023年9月22日修订通过，自2024年1月1日起施行</w:t>
            </w:r>
            <w:r>
              <w:rPr>
                <w:rFonts w:hint="default" w:ascii="Times New Roman" w:hAnsi="Times New Roman" w:eastAsia="仿宋_GB2312" w:cs="Times New Roman"/>
                <w:szCs w:val="24"/>
                <w:lang w:bidi="ar"/>
              </w:rPr>
              <w:t xml:space="preserve">）   </w:t>
            </w:r>
          </w:p>
          <w:p w14:paraId="25CA2110">
            <w:pPr>
              <w:pStyle w:val="6"/>
              <w:shd w:val="clear" w:color="auto" w:fill="FFFFFF"/>
              <w:spacing w:beforeAutospacing="0" w:afterAutospacing="0" w:line="360" w:lineRule="atLeast"/>
              <w:ind w:firstLine="456"/>
              <w:rPr>
                <w:rFonts w:hint="default" w:ascii="Times New Roman" w:hAnsi="Times New Roman" w:eastAsia="仿宋_GB2312" w:cs="Times New Roman"/>
                <w:szCs w:val="24"/>
              </w:rPr>
            </w:pPr>
            <w:r>
              <w:rPr>
                <w:rFonts w:hint="default" w:ascii="Times New Roman" w:hAnsi="Times New Roman" w:eastAsia="仿宋_GB2312" w:cs="Times New Roman"/>
                <w:szCs w:val="24"/>
                <w:lang w:bidi="ar"/>
              </w:rPr>
              <w:t>第四条 县级以上人民政府对本行政区</w:t>
            </w:r>
            <w:r>
              <w:rPr>
                <w:rFonts w:hint="default" w:ascii="Times New Roman" w:hAnsi="Times New Roman" w:eastAsia="仿宋_GB2312" w:cs="Times New Roman"/>
                <w:spacing w:val="-6"/>
                <w:szCs w:val="24"/>
                <w:lang w:bidi="ar"/>
              </w:rPr>
              <w:t>域的农产品质量安全工作负责，统一领导</w:t>
            </w:r>
            <w:r>
              <w:rPr>
                <w:rFonts w:hint="default" w:ascii="Times New Roman" w:hAnsi="Times New Roman" w:eastAsia="仿宋_GB2312" w:cs="Times New Roman"/>
                <w:szCs w:val="24"/>
                <w:lang w:bidi="ar"/>
              </w:rPr>
              <w:t>、组织、协调本行政区域的农产品质量安全</w:t>
            </w:r>
            <w:r>
              <w:rPr>
                <w:rFonts w:hint="default" w:ascii="Times New Roman" w:hAnsi="Times New Roman" w:eastAsia="仿宋_GB2312" w:cs="Times New Roman"/>
                <w:spacing w:val="-6"/>
                <w:szCs w:val="24"/>
                <w:lang w:bidi="ar"/>
              </w:rPr>
              <w:t>工作，建立健全农产品质量安全工作机制</w:t>
            </w:r>
            <w:r>
              <w:rPr>
                <w:rFonts w:hint="default" w:ascii="Times New Roman" w:hAnsi="Times New Roman" w:eastAsia="仿宋_GB2312" w:cs="Times New Roman"/>
                <w:szCs w:val="24"/>
                <w:lang w:bidi="ar"/>
              </w:rPr>
              <w:t>，将农产品质量安全管理工作纳入本级国民经济和社会发展规划，所需经费列入本级财政预算。</w:t>
            </w:r>
          </w:p>
          <w:p w14:paraId="56632AE4">
            <w:pPr>
              <w:pStyle w:val="6"/>
              <w:shd w:val="clear" w:color="auto" w:fill="FFFFFF"/>
              <w:spacing w:beforeAutospacing="0" w:afterAutospacing="0" w:line="360" w:lineRule="atLeast"/>
              <w:ind w:firstLine="456"/>
              <w:rPr>
                <w:rFonts w:hint="default" w:ascii="Times New Roman" w:hAnsi="Times New Roman" w:eastAsia="仿宋_GB2312" w:cs="Times New Roman"/>
                <w:szCs w:val="24"/>
              </w:rPr>
            </w:pPr>
            <w:r>
              <w:rPr>
                <w:rFonts w:hint="default" w:ascii="Times New Roman" w:hAnsi="Times New Roman" w:eastAsia="仿宋_GB2312" w:cs="Times New Roman"/>
                <w:szCs w:val="24"/>
                <w:lang w:bidi="ar"/>
              </w:rPr>
              <w:t>乡（镇）人民政府应当协助上级人民政府及其有关部门做好农产品质量安全监督管理工作，落实农产品质量安全网格化管理职责，组织开展农产品质量安全培训宣传、日常巡查、抽查检测和技术指导服务等工作。</w:t>
            </w:r>
          </w:p>
          <w:p w14:paraId="357162FE">
            <w:pPr>
              <w:pStyle w:val="6"/>
              <w:shd w:val="clear" w:color="auto" w:fill="FFFFFF"/>
              <w:spacing w:beforeAutospacing="0" w:afterAutospacing="0" w:line="360" w:lineRule="atLeast"/>
              <w:ind w:firstLine="456"/>
              <w:rPr>
                <w:rFonts w:hint="default" w:ascii="Times New Roman" w:hAnsi="Times New Roman" w:eastAsia="仿宋_GB2312" w:cs="Times New Roman"/>
                <w:szCs w:val="24"/>
              </w:rPr>
            </w:pPr>
            <w:r>
              <w:rPr>
                <w:rFonts w:hint="default" w:ascii="Times New Roman" w:hAnsi="Times New Roman" w:eastAsia="仿宋_GB2312" w:cs="Times New Roman"/>
                <w:szCs w:val="24"/>
                <w:lang w:bidi="ar"/>
              </w:rPr>
              <w:t>鼓励和支持村（居）民委员会建立农产品质量安全信息员工作制度，协助开展有关工作。</w:t>
            </w:r>
          </w:p>
        </w:tc>
        <w:tc>
          <w:tcPr>
            <w:tcW w:w="609" w:type="pct"/>
            <w:vAlign w:val="center"/>
          </w:tcPr>
          <w:p w14:paraId="59EF6EE8">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517EA2CE">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0238A197">
            <w:pPr>
              <w:jc w:val="center"/>
              <w:textAlignment w:val="center"/>
              <w:rPr>
                <w:rFonts w:hint="default" w:ascii="Times New Roman" w:hAnsi="Times New Roman" w:eastAsia="仿宋_GB2312" w:cs="Times New Roman"/>
                <w:sz w:val="24"/>
                <w:szCs w:val="24"/>
                <w:lang w:eastAsia="zh-CN" w:bidi="ar"/>
              </w:rPr>
            </w:pPr>
          </w:p>
        </w:tc>
      </w:tr>
      <w:tr w14:paraId="7B0C5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1BF3201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7FA447B0">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274B20D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6A83C0E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54CBF5BD">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69A10E6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0B50E462">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28C20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25" w:hRule="exact"/>
          <w:jc w:val="center"/>
        </w:trPr>
        <w:tc>
          <w:tcPr>
            <w:tcW w:w="313" w:type="pct"/>
            <w:vAlign w:val="center"/>
          </w:tcPr>
          <w:p w14:paraId="6158BFF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14</w:t>
            </w:r>
          </w:p>
        </w:tc>
        <w:tc>
          <w:tcPr>
            <w:tcW w:w="631" w:type="pct"/>
            <w:vAlign w:val="center"/>
          </w:tcPr>
          <w:p w14:paraId="24C8B056">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pacing w:val="11"/>
                <w:sz w:val="24"/>
                <w:szCs w:val="24"/>
                <w:lang w:eastAsia="zh-CN" w:bidi="ar"/>
              </w:rPr>
              <w:t>对食品小作坊</w:t>
            </w:r>
            <w:r>
              <w:rPr>
                <w:rFonts w:hint="default" w:ascii="Times New Roman" w:hAnsi="Times New Roman" w:eastAsia="仿宋_GB2312" w:cs="Times New Roman"/>
                <w:sz w:val="24"/>
                <w:szCs w:val="24"/>
                <w:lang w:eastAsia="zh-CN" w:bidi="ar"/>
              </w:rPr>
              <w:t>、小经营店和小摊点的生产经营活动的现场巡查</w:t>
            </w:r>
          </w:p>
        </w:tc>
        <w:tc>
          <w:tcPr>
            <w:tcW w:w="501" w:type="pct"/>
            <w:vAlign w:val="center"/>
          </w:tcPr>
          <w:p w14:paraId="42218BAA">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1BF7C9F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【地方性法规】《山西省食品小作坊小经营店小摊点管理条例》（2021年修正）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第三十六条 </w:t>
            </w:r>
            <w:r>
              <w:rPr>
                <w:rFonts w:hint="default" w:ascii="Times New Roman" w:hAnsi="Times New Roman" w:eastAsia="仿宋_GB2312" w:cs="Times New Roman"/>
                <w:sz w:val="24"/>
                <w:szCs w:val="24"/>
                <w:lang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609" w:type="pct"/>
            <w:vAlign w:val="center"/>
          </w:tcPr>
          <w:p w14:paraId="0C0C7821">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55694A9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435ED945">
            <w:pPr>
              <w:jc w:val="center"/>
              <w:textAlignment w:val="center"/>
              <w:rPr>
                <w:rFonts w:hint="default" w:ascii="Times New Roman" w:hAnsi="Times New Roman" w:eastAsia="仿宋_GB2312" w:cs="Times New Roman"/>
                <w:sz w:val="24"/>
                <w:szCs w:val="24"/>
                <w:lang w:eastAsia="zh-CN" w:bidi="ar"/>
              </w:rPr>
            </w:pPr>
          </w:p>
        </w:tc>
      </w:tr>
      <w:tr w14:paraId="7985E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4BA434A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77EDAE1D">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10B1342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0E097A6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2709E3B5">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2DCE087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361F2ACF">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14309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775" w:hRule="exact"/>
          <w:jc w:val="center"/>
        </w:trPr>
        <w:tc>
          <w:tcPr>
            <w:tcW w:w="313" w:type="pct"/>
            <w:vAlign w:val="center"/>
          </w:tcPr>
          <w:p w14:paraId="37803A69">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15</w:t>
            </w:r>
          </w:p>
        </w:tc>
        <w:tc>
          <w:tcPr>
            <w:tcW w:w="631" w:type="pct"/>
            <w:vAlign w:val="center"/>
          </w:tcPr>
          <w:p w14:paraId="4D4D976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对辖区内渡口渡运的监督检查</w:t>
            </w:r>
          </w:p>
        </w:tc>
        <w:tc>
          <w:tcPr>
            <w:tcW w:w="501" w:type="pct"/>
            <w:vAlign w:val="center"/>
          </w:tcPr>
          <w:p w14:paraId="34B6FCCD">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6B0D13E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【部门规章】《内河渡口渡船安全管理规定》（2014年交通运输部令第9号）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第三十五条  </w:t>
            </w:r>
            <w:r>
              <w:rPr>
                <w:rFonts w:hint="default" w:ascii="Times New Roman" w:hAnsi="Times New Roman" w:eastAsia="仿宋_GB2312" w:cs="Times New Roman"/>
                <w:sz w:val="24"/>
                <w:szCs w:val="24"/>
                <w:lang w:eastAsia="zh-CN" w:bidi="ar"/>
              </w:rPr>
              <w:t>县级以上地方人民政府及其指定的有关部门、乡镇渡口所在地乡镇</w:t>
            </w:r>
            <w:r>
              <w:rPr>
                <w:rFonts w:hint="default" w:ascii="Times New Roman" w:hAnsi="Times New Roman" w:eastAsia="仿宋_GB2312" w:cs="Times New Roman"/>
                <w:spacing w:val="-6"/>
                <w:sz w:val="24"/>
                <w:szCs w:val="24"/>
                <w:lang w:eastAsia="zh-CN" w:bidi="ar"/>
              </w:rPr>
              <w:t>人民政府应当建立渡口渡运安全检查制度，</w:t>
            </w:r>
            <w:r>
              <w:rPr>
                <w:rFonts w:hint="default" w:ascii="Times New Roman" w:hAnsi="Times New Roman" w:eastAsia="仿宋_GB2312" w:cs="Times New Roman"/>
                <w:sz w:val="24"/>
                <w:szCs w:val="24"/>
                <w:lang w:eastAsia="zh-CN" w:bidi="ar"/>
              </w:rPr>
              <w:t>并组织落实。在监督检查中发现渡口存在安全隐患的，应当责令立即消除安全隐患或者限期整改。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第三十六条  </w:t>
            </w:r>
            <w:r>
              <w:rPr>
                <w:rFonts w:hint="default" w:ascii="Times New Roman" w:hAnsi="Times New Roman" w:eastAsia="仿宋_GB2312" w:cs="Times New Roman"/>
                <w:sz w:val="24"/>
                <w:szCs w:val="24"/>
                <w:lang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签单人员应当如实记录渡运情况，不得弄虚作假；发现渡运安全隐患或者违法行为，可能危及渡运安全时，应当报告乡镇人民政府。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乡镇人民政府应当定期对签单发航制度的实施情况进行检查。</w:t>
            </w:r>
          </w:p>
        </w:tc>
        <w:tc>
          <w:tcPr>
            <w:tcW w:w="609" w:type="pct"/>
            <w:vAlign w:val="center"/>
          </w:tcPr>
          <w:p w14:paraId="6FC126B5">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5FF6EAF5">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1EA0A6ED">
            <w:pPr>
              <w:jc w:val="center"/>
              <w:textAlignment w:val="center"/>
              <w:rPr>
                <w:rFonts w:hint="default" w:ascii="Times New Roman" w:hAnsi="Times New Roman" w:eastAsia="仿宋_GB2312" w:cs="Times New Roman"/>
                <w:sz w:val="24"/>
                <w:szCs w:val="24"/>
                <w:lang w:eastAsia="zh-CN" w:bidi="ar"/>
              </w:rPr>
            </w:pPr>
          </w:p>
        </w:tc>
      </w:tr>
      <w:tr w14:paraId="3D5DE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1C55A1A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0C39827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498CB28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2BC1B4F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17B3ECA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16A9F774">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2A6E602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13B9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161" w:hRule="exact"/>
          <w:jc w:val="center"/>
        </w:trPr>
        <w:tc>
          <w:tcPr>
            <w:tcW w:w="313" w:type="pct"/>
            <w:vAlign w:val="center"/>
          </w:tcPr>
          <w:p w14:paraId="27302B2B">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16</w:t>
            </w:r>
          </w:p>
        </w:tc>
        <w:tc>
          <w:tcPr>
            <w:tcW w:w="631" w:type="pct"/>
            <w:vAlign w:val="center"/>
          </w:tcPr>
          <w:p w14:paraId="7DF4D02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pacing w:val="11"/>
                <w:sz w:val="24"/>
                <w:szCs w:val="24"/>
                <w:lang w:eastAsia="zh-CN" w:bidi="ar"/>
              </w:rPr>
              <w:t>对本辖区内煤</w:t>
            </w:r>
            <w:r>
              <w:rPr>
                <w:rFonts w:hint="default" w:ascii="Times New Roman" w:hAnsi="Times New Roman" w:eastAsia="仿宋_GB2312" w:cs="Times New Roman"/>
                <w:spacing w:val="11"/>
                <w:sz w:val="24"/>
                <w:szCs w:val="24"/>
                <w:lang w:val="en-US" w:eastAsia="zh-CN" w:bidi="ar"/>
              </w:rPr>
              <w:t>碳</w:t>
            </w:r>
            <w:r>
              <w:rPr>
                <w:rFonts w:hint="default" w:ascii="Times New Roman" w:hAnsi="Times New Roman" w:eastAsia="仿宋_GB2312" w:cs="Times New Roman"/>
                <w:spacing w:val="11"/>
                <w:sz w:val="24"/>
                <w:szCs w:val="24"/>
                <w:lang w:eastAsia="zh-CN" w:bidi="ar"/>
              </w:rPr>
              <w:t>、</w:t>
            </w:r>
            <w:r>
              <w:rPr>
                <w:rFonts w:hint="default" w:ascii="Times New Roman" w:hAnsi="Times New Roman" w:eastAsia="仿宋_GB2312" w:cs="Times New Roman"/>
                <w:spacing w:val="11"/>
                <w:sz w:val="24"/>
                <w:szCs w:val="24"/>
                <w:lang w:val="en-US" w:eastAsia="zh-CN" w:bidi="ar"/>
              </w:rPr>
              <w:t>钢材</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val="en-US" w:eastAsia="zh-CN" w:bidi="ar"/>
              </w:rPr>
              <w:t>水泥、砂石</w:t>
            </w:r>
            <w:r>
              <w:rPr>
                <w:rFonts w:hint="default" w:ascii="Times New Roman" w:hAnsi="Times New Roman" w:eastAsia="仿宋_GB2312" w:cs="Times New Roman"/>
                <w:sz w:val="24"/>
                <w:szCs w:val="24"/>
                <w:lang w:eastAsia="zh-CN" w:bidi="ar"/>
              </w:rPr>
              <w:t>等货运源头单位的监督管理</w:t>
            </w:r>
          </w:p>
        </w:tc>
        <w:tc>
          <w:tcPr>
            <w:tcW w:w="501" w:type="pct"/>
            <w:vAlign w:val="center"/>
          </w:tcPr>
          <w:p w14:paraId="33E28FEF">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15B891F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【政府规章】《山西省治理道路货物运输源头超限超载</w:t>
            </w:r>
            <w:r>
              <w:rPr>
                <w:rFonts w:hint="default" w:ascii="Times New Roman" w:hAnsi="Times New Roman" w:eastAsia="仿宋_GB2312" w:cs="Times New Roman"/>
                <w:sz w:val="24"/>
                <w:szCs w:val="24"/>
                <w:lang w:val="en-US" w:eastAsia="zh-CN" w:bidi="ar"/>
              </w:rPr>
              <w:t>办法</w:t>
            </w:r>
            <w:r>
              <w:rPr>
                <w:rFonts w:hint="default" w:ascii="Times New Roman" w:hAnsi="Times New Roman" w:eastAsia="仿宋_GB2312" w:cs="Times New Roman"/>
                <w:sz w:val="24"/>
                <w:szCs w:val="24"/>
                <w:lang w:eastAsia="zh-CN" w:bidi="ar"/>
              </w:rPr>
              <w:t>》（山西省人民政府令第301号）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第四条第三款</w:t>
            </w:r>
            <w:r>
              <w:rPr>
                <w:rFonts w:hint="default" w:ascii="Times New Roman" w:hAnsi="Times New Roman" w:eastAsia="仿宋_GB2312" w:cs="Times New Roman"/>
                <w:sz w:val="24"/>
                <w:szCs w:val="24"/>
                <w:lang w:eastAsia="zh-CN" w:bidi="ar"/>
              </w:rPr>
              <w:t xml:space="preserve"> 乡（镇）人民政府和街道办事处按照法律、法规、规章等有关规定做好源头治超工作。</w:t>
            </w:r>
          </w:p>
        </w:tc>
        <w:tc>
          <w:tcPr>
            <w:tcW w:w="609" w:type="pct"/>
            <w:vAlign w:val="center"/>
          </w:tcPr>
          <w:p w14:paraId="64C4E89A">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711C5267">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66924049">
            <w:pPr>
              <w:jc w:val="center"/>
              <w:textAlignment w:val="center"/>
              <w:rPr>
                <w:rFonts w:hint="default" w:ascii="Times New Roman" w:hAnsi="Times New Roman" w:eastAsia="仿宋_GB2312" w:cs="Times New Roman"/>
                <w:sz w:val="24"/>
                <w:szCs w:val="24"/>
                <w:lang w:eastAsia="zh-CN" w:bidi="ar"/>
              </w:rPr>
            </w:pPr>
          </w:p>
        </w:tc>
      </w:tr>
      <w:tr w14:paraId="288C0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697" w:hRule="exact"/>
          <w:jc w:val="center"/>
        </w:trPr>
        <w:tc>
          <w:tcPr>
            <w:tcW w:w="313" w:type="pct"/>
            <w:vAlign w:val="center"/>
          </w:tcPr>
          <w:p w14:paraId="4249FDFC">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17</w:t>
            </w:r>
          </w:p>
        </w:tc>
        <w:tc>
          <w:tcPr>
            <w:tcW w:w="631" w:type="pct"/>
            <w:vAlign w:val="center"/>
          </w:tcPr>
          <w:p w14:paraId="2BA175C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对本辖区禁止野外用火的监督管理</w:t>
            </w:r>
          </w:p>
        </w:tc>
        <w:tc>
          <w:tcPr>
            <w:tcW w:w="501" w:type="pct"/>
            <w:vAlign w:val="center"/>
          </w:tcPr>
          <w:p w14:paraId="6C2F3258">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69AB53E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【地方性法规】《山西省人民代表大会常务委员会关于禁止野外用火的决定》（2020年5月施行）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六、乡（镇）人民政府、街道办事处</w:t>
            </w:r>
            <w:r>
              <w:rPr>
                <w:rFonts w:hint="default" w:ascii="Times New Roman" w:hAnsi="Times New Roman" w:eastAsia="仿宋_GB2312" w:cs="Times New Roman"/>
                <w:spacing w:val="-6"/>
                <w:sz w:val="24"/>
                <w:szCs w:val="24"/>
                <w:lang w:eastAsia="zh-CN" w:bidi="ar"/>
              </w:rPr>
              <w:t>应当加强本辖区禁止野外用火的监督管理，</w:t>
            </w:r>
            <w:r>
              <w:rPr>
                <w:rFonts w:hint="default" w:ascii="Times New Roman" w:hAnsi="Times New Roman" w:eastAsia="仿宋_GB2312" w:cs="Times New Roman"/>
                <w:sz w:val="24"/>
                <w:szCs w:val="24"/>
                <w:lang w:eastAsia="zh-CN" w:bidi="ar"/>
              </w:rPr>
              <w:t xml:space="preserve">组织开展森林草原防火知识培训和火灾扑救演练，指导村（居）民委员会开展群众性防火工作。 </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七、县（市、区）、乡（镇）人民政府应当依法在重要路口设立防火检查站，在重点地段、重点区域设置巡山、护林专业队，做好巡查巡护。</w:t>
            </w:r>
          </w:p>
        </w:tc>
        <w:tc>
          <w:tcPr>
            <w:tcW w:w="609" w:type="pct"/>
            <w:vAlign w:val="center"/>
          </w:tcPr>
          <w:p w14:paraId="6CBDA698">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42ACF67A">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00787779">
            <w:pPr>
              <w:jc w:val="center"/>
              <w:textAlignment w:val="center"/>
              <w:rPr>
                <w:rFonts w:hint="default" w:ascii="Times New Roman" w:hAnsi="Times New Roman" w:eastAsia="仿宋_GB2312" w:cs="Times New Roman"/>
                <w:sz w:val="24"/>
                <w:szCs w:val="24"/>
                <w:lang w:eastAsia="zh-CN" w:bidi="ar"/>
              </w:rPr>
            </w:pPr>
          </w:p>
        </w:tc>
      </w:tr>
      <w:tr w14:paraId="6D61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51146B50">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42B04636">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6996EE5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5471C870">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5F9DB7FA">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2E9BA2DC">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4B74318F">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058E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27" w:hRule="exact"/>
          <w:jc w:val="center"/>
        </w:trPr>
        <w:tc>
          <w:tcPr>
            <w:tcW w:w="313" w:type="pct"/>
            <w:vAlign w:val="center"/>
          </w:tcPr>
          <w:p w14:paraId="1EBE76C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18</w:t>
            </w:r>
          </w:p>
        </w:tc>
        <w:tc>
          <w:tcPr>
            <w:tcW w:w="631" w:type="pct"/>
            <w:vAlign w:val="center"/>
          </w:tcPr>
          <w:p w14:paraId="0BDE786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对地质灾害险情的检查</w:t>
            </w:r>
          </w:p>
        </w:tc>
        <w:tc>
          <w:tcPr>
            <w:tcW w:w="501" w:type="pct"/>
            <w:vAlign w:val="center"/>
          </w:tcPr>
          <w:p w14:paraId="70BD148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20C8E40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【行政法规】《地质灾害防治条例》（2003年国务院令第394号）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pacing w:val="-20"/>
                <w:sz w:val="24"/>
                <w:szCs w:val="24"/>
                <w:lang w:eastAsia="zh-CN" w:bidi="ar"/>
              </w:rPr>
              <w:t xml:space="preserve">第十五条第一款 </w:t>
            </w:r>
            <w:r>
              <w:rPr>
                <w:rFonts w:hint="default" w:ascii="Times New Roman" w:hAnsi="Times New Roman" w:eastAsia="仿宋_GB2312" w:cs="Times New Roman"/>
                <w:spacing w:val="-20"/>
                <w:sz w:val="24"/>
                <w:szCs w:val="24"/>
                <w:lang w:eastAsia="zh-CN" w:bidi="ar"/>
              </w:rPr>
              <w:t xml:space="preserve"> 地质灾害易发区的县、</w:t>
            </w:r>
            <w:r>
              <w:rPr>
                <w:rFonts w:hint="default" w:ascii="Times New Roman" w:hAnsi="Times New Roman" w:eastAsia="仿宋_GB2312" w:cs="Times New Roman"/>
                <w:spacing w:val="11"/>
                <w:sz w:val="24"/>
                <w:szCs w:val="24"/>
                <w:lang w:eastAsia="zh-CN" w:bidi="ar"/>
              </w:rPr>
              <w:t>乡、村应当加强地质灾害的群测群防工作</w:t>
            </w:r>
            <w:r>
              <w:rPr>
                <w:rFonts w:hint="default" w:ascii="Times New Roman" w:hAnsi="Times New Roman" w:eastAsia="仿宋_GB2312" w:cs="Times New Roman"/>
                <w:sz w:val="24"/>
                <w:szCs w:val="24"/>
                <w:lang w:eastAsia="zh-CN" w:bidi="ar"/>
              </w:rPr>
              <w:t>。在地质灾害重点防范期内，乡镇人民政府、基层群众自治组织应当加强地质灾害险情的巡回检查，发现险情及时处理和报告。</w:t>
            </w:r>
          </w:p>
        </w:tc>
        <w:tc>
          <w:tcPr>
            <w:tcW w:w="609" w:type="pct"/>
            <w:vAlign w:val="center"/>
          </w:tcPr>
          <w:p w14:paraId="55E0E17E">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2F378FC4">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019328C0">
            <w:pPr>
              <w:jc w:val="center"/>
              <w:textAlignment w:val="center"/>
              <w:rPr>
                <w:rFonts w:hint="default" w:ascii="Times New Roman" w:hAnsi="Times New Roman" w:eastAsia="仿宋_GB2312" w:cs="Times New Roman"/>
                <w:sz w:val="24"/>
                <w:szCs w:val="24"/>
                <w:lang w:eastAsia="zh-CN" w:bidi="ar"/>
              </w:rPr>
            </w:pPr>
          </w:p>
        </w:tc>
      </w:tr>
      <w:tr w14:paraId="2FDB7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2FEB063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7252DAA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69D425F6">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68EAA76F">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75090FF7">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1C8F12AD">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16CEF568">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56F3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829" w:hRule="exact"/>
          <w:jc w:val="center"/>
        </w:trPr>
        <w:tc>
          <w:tcPr>
            <w:tcW w:w="313" w:type="pct"/>
            <w:vAlign w:val="center"/>
          </w:tcPr>
          <w:p w14:paraId="59010D52">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19</w:t>
            </w:r>
          </w:p>
        </w:tc>
        <w:tc>
          <w:tcPr>
            <w:tcW w:w="631" w:type="pct"/>
            <w:vAlign w:val="center"/>
          </w:tcPr>
          <w:p w14:paraId="1868F26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对消防安全的检查</w:t>
            </w:r>
          </w:p>
        </w:tc>
        <w:tc>
          <w:tcPr>
            <w:tcW w:w="501" w:type="pct"/>
            <w:vAlign w:val="center"/>
          </w:tcPr>
          <w:p w14:paraId="0D27BAA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482F4CD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【法律】《中华人民共和国消防法》（2021年修正）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第三十一条</w:t>
            </w:r>
            <w:r>
              <w:rPr>
                <w:rFonts w:hint="default" w:ascii="Times New Roman" w:hAnsi="Times New Roman" w:eastAsia="仿宋_GB2312" w:cs="Times New Roman"/>
                <w:sz w:val="24"/>
                <w:szCs w:val="24"/>
                <w:lang w:eastAsia="zh-CN" w:bidi="ar"/>
              </w:rPr>
              <w:t>　在农业收获季节、森林和草原防火期间、重大节假日期间以及火灾多发季节，地方各级人民政府应当组织开展有针对性的消防宣传教育，采取防火措施，进行消防安全检查。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第三十二条　</w:t>
            </w:r>
            <w:r>
              <w:rPr>
                <w:rFonts w:hint="default" w:ascii="Times New Roman" w:hAnsi="Times New Roman" w:eastAsia="仿宋_GB2312" w:cs="Times New Roman"/>
                <w:sz w:val="24"/>
                <w:szCs w:val="24"/>
                <w:lang w:eastAsia="zh-CN" w:bidi="ar"/>
              </w:rPr>
              <w:t>乡镇人民政府、城市街</w:t>
            </w:r>
            <w:r>
              <w:rPr>
                <w:rFonts w:hint="default" w:ascii="Times New Roman" w:hAnsi="Times New Roman" w:eastAsia="仿宋_GB2312" w:cs="Times New Roman"/>
                <w:spacing w:val="-20"/>
                <w:sz w:val="24"/>
                <w:szCs w:val="24"/>
                <w:lang w:eastAsia="zh-CN" w:bidi="ar"/>
              </w:rPr>
              <w:t>道办事处应当指导、支持和帮助村民委员会、</w:t>
            </w:r>
            <w:r>
              <w:rPr>
                <w:rFonts w:hint="default" w:ascii="Times New Roman" w:hAnsi="Times New Roman" w:eastAsia="仿宋_GB2312" w:cs="Times New Roman"/>
                <w:sz w:val="24"/>
                <w:szCs w:val="24"/>
                <w:lang w:eastAsia="zh-CN" w:bidi="ar"/>
              </w:rPr>
              <w:t>居民委员会开展群众性的消防工作。村民委员会、居民委员会应当确定消防安全管理人，组织制定防火安全公约，进行防火安全检查。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【政府规章】《山西省消防安全责任制实施办法》（2020年省政府令第267号）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 xml:space="preserve">      第八条</w:t>
            </w:r>
            <w:r>
              <w:rPr>
                <w:rFonts w:hint="default" w:ascii="Times New Roman" w:hAnsi="Times New Roman" w:eastAsia="仿宋_GB2312" w:cs="Times New Roman"/>
                <w:sz w:val="24"/>
                <w:szCs w:val="24"/>
                <w:lang w:eastAsia="zh-CN" w:bidi="ar"/>
              </w:rPr>
              <w:t xml:space="preserve">  乡（镇）人民政府履行下列消防安全工作职责：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（三）根据当地经济发展和消防工作的需要，建立承担火灾扑救、应急救援等职能的专职消防队、志愿消防队，开展消防宣传、防火巡查、隐患查改。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p>
        </w:tc>
        <w:tc>
          <w:tcPr>
            <w:tcW w:w="609" w:type="pct"/>
            <w:vAlign w:val="center"/>
          </w:tcPr>
          <w:p w14:paraId="59A491BA">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19776570">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147B3D80">
            <w:pPr>
              <w:jc w:val="center"/>
              <w:textAlignment w:val="center"/>
              <w:rPr>
                <w:rFonts w:hint="default" w:ascii="Times New Roman" w:hAnsi="Times New Roman" w:eastAsia="仿宋_GB2312" w:cs="Times New Roman"/>
                <w:sz w:val="24"/>
                <w:szCs w:val="24"/>
                <w:lang w:eastAsia="zh-CN" w:bidi="ar"/>
              </w:rPr>
            </w:pPr>
          </w:p>
        </w:tc>
      </w:tr>
      <w:tr w14:paraId="413C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8" w:hRule="exact"/>
          <w:jc w:val="center"/>
        </w:trPr>
        <w:tc>
          <w:tcPr>
            <w:tcW w:w="313" w:type="pct"/>
            <w:shd w:val="clear" w:color="auto" w:fill="auto"/>
            <w:vAlign w:val="center"/>
          </w:tcPr>
          <w:p w14:paraId="151F0B80">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序号</w:t>
            </w:r>
          </w:p>
        </w:tc>
        <w:tc>
          <w:tcPr>
            <w:tcW w:w="631" w:type="pct"/>
            <w:shd w:val="clear" w:color="auto" w:fill="auto"/>
            <w:vAlign w:val="center"/>
          </w:tcPr>
          <w:p w14:paraId="7380C775">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事项名称</w:t>
            </w:r>
          </w:p>
        </w:tc>
        <w:tc>
          <w:tcPr>
            <w:tcW w:w="501" w:type="pct"/>
            <w:shd w:val="clear" w:color="auto" w:fill="auto"/>
            <w:vAlign w:val="center"/>
          </w:tcPr>
          <w:p w14:paraId="1B891BC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事项类型</w:t>
            </w:r>
          </w:p>
        </w:tc>
        <w:tc>
          <w:tcPr>
            <w:tcW w:w="1807" w:type="pct"/>
            <w:shd w:val="clear" w:color="auto" w:fill="auto"/>
            <w:vAlign w:val="center"/>
          </w:tcPr>
          <w:p w14:paraId="21FA4D0E">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事项依据</w:t>
            </w:r>
          </w:p>
        </w:tc>
        <w:tc>
          <w:tcPr>
            <w:tcW w:w="609" w:type="pct"/>
            <w:shd w:val="clear" w:color="auto" w:fill="auto"/>
            <w:vAlign w:val="center"/>
          </w:tcPr>
          <w:p w14:paraId="1903F8B1">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责任主体</w:t>
            </w:r>
          </w:p>
        </w:tc>
        <w:tc>
          <w:tcPr>
            <w:tcW w:w="765" w:type="pct"/>
            <w:shd w:val="clear" w:color="auto" w:fill="auto"/>
            <w:vAlign w:val="center"/>
          </w:tcPr>
          <w:p w14:paraId="04EDF859">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val="en-US" w:eastAsia="zh-CN"/>
              </w:rPr>
              <w:t>实施主体</w:t>
            </w:r>
          </w:p>
        </w:tc>
        <w:tc>
          <w:tcPr>
            <w:tcW w:w="370" w:type="pct"/>
            <w:shd w:val="clear" w:color="auto" w:fill="auto"/>
            <w:vAlign w:val="center"/>
          </w:tcPr>
          <w:p w14:paraId="201992D2">
            <w:pPr>
              <w:overflowPunct w:val="0"/>
              <w:spacing w:line="320" w:lineRule="exact"/>
              <w:jc w:val="center"/>
              <w:rPr>
                <w:rFonts w:hint="default" w:ascii="Times New Roman" w:hAnsi="Times New Roman" w:eastAsia="黑体" w:cs="Times New Roman"/>
                <w:snapToGrid w:val="0"/>
                <w:color w:val="000000"/>
                <w:sz w:val="28"/>
                <w:szCs w:val="28"/>
                <w:lang w:val="en-US" w:eastAsia="zh-CN" w:bidi="ar-SA"/>
              </w:rPr>
            </w:pPr>
            <w:r>
              <w:rPr>
                <w:rFonts w:hint="default" w:ascii="Times New Roman" w:hAnsi="Times New Roman" w:eastAsia="黑体" w:cs="Times New Roman"/>
                <w:sz w:val="28"/>
                <w:szCs w:val="28"/>
                <w:lang w:eastAsia="zh-CN"/>
              </w:rPr>
              <w:t>备注</w:t>
            </w:r>
          </w:p>
        </w:tc>
      </w:tr>
      <w:tr w14:paraId="0B322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643" w:hRule="exact"/>
          <w:jc w:val="center"/>
        </w:trPr>
        <w:tc>
          <w:tcPr>
            <w:tcW w:w="313" w:type="pct"/>
            <w:vAlign w:val="center"/>
          </w:tcPr>
          <w:p w14:paraId="472F3104">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20</w:t>
            </w:r>
          </w:p>
        </w:tc>
        <w:tc>
          <w:tcPr>
            <w:tcW w:w="631" w:type="pct"/>
            <w:vAlign w:val="center"/>
          </w:tcPr>
          <w:p w14:paraId="7878399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指导、监督、检查宗教活动场所</w:t>
            </w:r>
          </w:p>
        </w:tc>
        <w:tc>
          <w:tcPr>
            <w:tcW w:w="501" w:type="pct"/>
            <w:vAlign w:val="center"/>
          </w:tcPr>
          <w:p w14:paraId="37477A6E">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行政检查</w:t>
            </w:r>
          </w:p>
        </w:tc>
        <w:tc>
          <w:tcPr>
            <w:tcW w:w="1807" w:type="pct"/>
            <w:vAlign w:val="center"/>
          </w:tcPr>
          <w:p w14:paraId="4C30969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【行政法规】《宗教事务条例》（2004年国务院令第426号，2017年修订）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        </w:t>
            </w:r>
            <w:r>
              <w:rPr>
                <w:rFonts w:hint="default" w:ascii="Times New Roman" w:hAnsi="Times New Roman" w:eastAsia="仿宋_GB2312" w:cs="Times New Roman"/>
                <w:b/>
                <w:bCs/>
                <w:sz w:val="24"/>
                <w:szCs w:val="24"/>
                <w:lang w:eastAsia="zh-CN" w:bidi="ar"/>
              </w:rPr>
              <w:t>第二十六条</w:t>
            </w:r>
            <w:r>
              <w:rPr>
                <w:rFonts w:hint="default" w:ascii="Times New Roman" w:hAnsi="Times New Roman" w:eastAsia="仿宋_GB2312" w:cs="Times New Roman"/>
                <w:sz w:val="24"/>
                <w:szCs w:val="24"/>
                <w:lang w:eastAsia="zh-CN" w:bidi="ar"/>
              </w:rPr>
              <w:t>　宗教活动场所应当加强内部管理，依照有关法律、法规、规章的</w:t>
            </w:r>
            <w:r>
              <w:rPr>
                <w:rFonts w:hint="default" w:ascii="Times New Roman" w:hAnsi="Times New Roman" w:eastAsia="仿宋_GB2312" w:cs="Times New Roman"/>
                <w:spacing w:val="-11"/>
                <w:sz w:val="24"/>
                <w:szCs w:val="24"/>
                <w:lang w:eastAsia="zh-CN" w:bidi="ar"/>
              </w:rPr>
              <w:t>规定，建立健全人员、财务、资产、会计、</w:t>
            </w:r>
            <w:r>
              <w:rPr>
                <w:rFonts w:hint="default" w:ascii="Times New Roman" w:hAnsi="Times New Roman" w:eastAsia="仿宋_GB2312" w:cs="Times New Roman"/>
                <w:sz w:val="24"/>
                <w:szCs w:val="24"/>
                <w:lang w:eastAsia="zh-CN" w:bidi="ar"/>
              </w:rPr>
              <w:t>治安、消防、文物保护、卫生防疫等管理</w:t>
            </w:r>
            <w:r>
              <w:rPr>
                <w:rFonts w:hint="default" w:ascii="Times New Roman" w:hAnsi="Times New Roman" w:eastAsia="仿宋_GB2312" w:cs="Times New Roman"/>
                <w:spacing w:val="-11"/>
                <w:sz w:val="24"/>
                <w:szCs w:val="24"/>
                <w:lang w:eastAsia="zh-CN" w:bidi="ar"/>
              </w:rPr>
              <w:t>制度，接受当地人民政府有关部门的指导</w:t>
            </w:r>
            <w:r>
              <w:rPr>
                <w:rFonts w:hint="default" w:ascii="Times New Roman" w:hAnsi="Times New Roman" w:eastAsia="仿宋_GB2312" w:cs="Times New Roman"/>
                <w:sz w:val="24"/>
                <w:szCs w:val="24"/>
                <w:lang w:eastAsia="zh-CN" w:bidi="ar"/>
              </w:rPr>
              <w:t>、监督、检查。</w:t>
            </w:r>
          </w:p>
        </w:tc>
        <w:tc>
          <w:tcPr>
            <w:tcW w:w="609" w:type="pct"/>
            <w:vAlign w:val="center"/>
          </w:tcPr>
          <w:p w14:paraId="7F0D12E3">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765" w:type="pct"/>
            <w:vAlign w:val="center"/>
          </w:tcPr>
          <w:p w14:paraId="339A82FB">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乡镇人民政府</w:t>
            </w:r>
          </w:p>
        </w:tc>
        <w:tc>
          <w:tcPr>
            <w:tcW w:w="370" w:type="pct"/>
            <w:vAlign w:val="center"/>
          </w:tcPr>
          <w:p w14:paraId="499F9C0B">
            <w:pPr>
              <w:jc w:val="center"/>
              <w:textAlignment w:val="center"/>
              <w:rPr>
                <w:rFonts w:hint="default" w:ascii="Times New Roman" w:hAnsi="Times New Roman" w:eastAsia="仿宋_GB2312" w:cs="Times New Roman"/>
                <w:sz w:val="24"/>
                <w:szCs w:val="24"/>
                <w:lang w:eastAsia="zh-CN" w:bidi="ar"/>
              </w:rPr>
            </w:pPr>
          </w:p>
        </w:tc>
      </w:tr>
    </w:tbl>
    <w:p w14:paraId="7C6202FC">
      <w:pPr>
        <w:spacing w:line="256" w:lineRule="auto"/>
        <w:rPr>
          <w:rFonts w:hint="default" w:ascii="Times New Roman" w:hAnsi="Times New Roman" w:cs="Times New Roman"/>
          <w:sz w:val="32"/>
          <w:szCs w:val="32"/>
        </w:rPr>
      </w:pPr>
    </w:p>
    <w:p w14:paraId="1D12A7F2">
      <w:pPr>
        <w:spacing w:line="257" w:lineRule="auto"/>
        <w:rPr>
          <w:rFonts w:hint="default" w:ascii="Times New Roman" w:hAnsi="Times New Roman" w:cs="Times New Roman"/>
          <w:sz w:val="32"/>
          <w:szCs w:val="32"/>
        </w:rPr>
      </w:pPr>
    </w:p>
    <w:p w14:paraId="6FC1AF46">
      <w:pPr>
        <w:spacing w:before="101" w:line="224" w:lineRule="auto"/>
        <w:ind w:left="931"/>
        <w:rPr>
          <w:rFonts w:hint="default" w:ascii="Times New Roman" w:hAnsi="Times New Roman" w:eastAsia="黑体" w:cs="Times New Roman"/>
          <w:b/>
          <w:bCs/>
          <w:spacing w:val="-12"/>
          <w:sz w:val="32"/>
          <w:szCs w:val="32"/>
          <w:lang w:eastAsia="zh-CN"/>
        </w:rPr>
      </w:pPr>
      <w:r>
        <w:rPr>
          <w:rFonts w:hint="default" w:ascii="Times New Roman" w:hAnsi="Times New Roman" w:eastAsia="黑体" w:cs="Times New Roman"/>
          <w:b/>
          <w:bCs/>
          <w:spacing w:val="-12"/>
          <w:sz w:val="32"/>
          <w:szCs w:val="32"/>
          <w:lang w:eastAsia="zh-CN"/>
        </w:rPr>
        <w:t xml:space="preserve"> </w:t>
      </w:r>
    </w:p>
    <w:p w14:paraId="746E11C1">
      <w:pPr>
        <w:pStyle w:val="2"/>
        <w:rPr>
          <w:rFonts w:hint="default" w:ascii="Times New Roman" w:hAnsi="Times New Roman" w:cs="Times New Roman"/>
          <w:lang w:eastAsia="zh-CN"/>
        </w:rPr>
      </w:pPr>
    </w:p>
    <w:p w14:paraId="27569085">
      <w:pPr>
        <w:rPr>
          <w:rFonts w:hint="default" w:ascii="Times New Roman" w:hAnsi="Times New Roman" w:cs="Times New Roman"/>
          <w:lang w:eastAsia="zh-CN"/>
        </w:rPr>
        <w:sectPr>
          <w:footerReference r:id="rId3" w:type="default"/>
          <w:pgSz w:w="16838" w:h="11905" w:orient="landscape"/>
          <w:pgMar w:top="1587" w:right="2098" w:bottom="1474" w:left="1984" w:header="992" w:footer="1587" w:gutter="0"/>
          <w:pgNumType w:fmt="numberInDash"/>
          <w:cols w:space="0" w:num="1"/>
          <w:rtlGutter w:val="0"/>
        </w:sectPr>
      </w:pPr>
    </w:p>
    <w:p w14:paraId="4E093324">
      <w:pPr>
        <w:keepNext w:val="0"/>
        <w:keepLines w:val="0"/>
        <w:pageBreakBefore w:val="0"/>
        <w:widowControl/>
        <w:kinsoku w:val="0"/>
        <w:wordWrap/>
        <w:overflowPunct/>
        <w:topLinePunct w:val="0"/>
        <w:autoSpaceDE w:val="0"/>
        <w:autoSpaceDN w:val="0"/>
        <w:bidi w:val="0"/>
        <w:adjustRightInd w:val="0"/>
        <w:snapToGrid w:val="0"/>
        <w:spacing w:before="157" w:beforeLines="50"/>
        <w:textAlignment w:val="baseline"/>
        <w:rPr>
          <w:rFonts w:hint="default" w:ascii="Times New Roman" w:hAnsi="Times New Roman" w:eastAsia="仿宋_GB2312" w:cs="Times New Roman"/>
          <w:color w:val="000000" w:themeColor="text1"/>
          <w:sz w:val="32"/>
          <w:szCs w:val="32"/>
          <w:lang w:eastAsia="zh-CN" w:bidi="ar"/>
          <w14:textFill>
            <w14:solidFill>
              <w14:schemeClr w14:val="tx1"/>
            </w14:solidFill>
          </w14:textFill>
        </w:rPr>
      </w:pPr>
    </w:p>
    <w:sectPr>
      <w:pgSz w:w="11906" w:h="16838"/>
      <w:pgMar w:top="2098" w:right="1474" w:bottom="1984" w:left="1587" w:header="992" w:footer="1587"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8C6C2-93A0-4172-A420-986D4148A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6FB69AB-9608-4DB4-84E6-FD443F4B3F92}"/>
  </w:font>
  <w:font w:name="方正小标宋_GBK">
    <w:panose1 w:val="03000509000000000000"/>
    <w:charset w:val="86"/>
    <w:family w:val="auto"/>
    <w:pitch w:val="default"/>
    <w:sig w:usb0="00000001" w:usb1="080E0000" w:usb2="00000000" w:usb3="00000000" w:csb0="00040000" w:csb1="00000000"/>
    <w:embedRegular r:id="rId3" w:fontKey="{3A7EFEC0-AB75-451B-94C2-0ECBB4D79D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4A43">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M2E5Y2ZmY2UwNDljYTM3ZjE1MWE2MDE4YWE5MGQifQ=="/>
  </w:docVars>
  <w:rsids>
    <w:rsidRoot w:val="00AA79BE"/>
    <w:rsid w:val="000B21D3"/>
    <w:rsid w:val="000B5ED8"/>
    <w:rsid w:val="000F7F29"/>
    <w:rsid w:val="00102802"/>
    <w:rsid w:val="00122B83"/>
    <w:rsid w:val="00164321"/>
    <w:rsid w:val="001C7AD3"/>
    <w:rsid w:val="001E2EA9"/>
    <w:rsid w:val="001E424B"/>
    <w:rsid w:val="00213B0A"/>
    <w:rsid w:val="00220BD5"/>
    <w:rsid w:val="00257E1D"/>
    <w:rsid w:val="00280289"/>
    <w:rsid w:val="002E726E"/>
    <w:rsid w:val="0033545F"/>
    <w:rsid w:val="003411C2"/>
    <w:rsid w:val="00345041"/>
    <w:rsid w:val="00416EE9"/>
    <w:rsid w:val="00447D2F"/>
    <w:rsid w:val="0047548A"/>
    <w:rsid w:val="004821A3"/>
    <w:rsid w:val="004A0D7D"/>
    <w:rsid w:val="00542AD0"/>
    <w:rsid w:val="005444A5"/>
    <w:rsid w:val="005623E9"/>
    <w:rsid w:val="005F5E7B"/>
    <w:rsid w:val="006116CF"/>
    <w:rsid w:val="0061446A"/>
    <w:rsid w:val="006405E9"/>
    <w:rsid w:val="006558BD"/>
    <w:rsid w:val="0067694B"/>
    <w:rsid w:val="006E1E34"/>
    <w:rsid w:val="00724C49"/>
    <w:rsid w:val="00736273"/>
    <w:rsid w:val="00751571"/>
    <w:rsid w:val="00752ECF"/>
    <w:rsid w:val="0077702A"/>
    <w:rsid w:val="00784326"/>
    <w:rsid w:val="009040BA"/>
    <w:rsid w:val="009176AD"/>
    <w:rsid w:val="00920605"/>
    <w:rsid w:val="009213AA"/>
    <w:rsid w:val="00933CDE"/>
    <w:rsid w:val="0093404C"/>
    <w:rsid w:val="009359A9"/>
    <w:rsid w:val="009677F5"/>
    <w:rsid w:val="009A1CBB"/>
    <w:rsid w:val="00A11A56"/>
    <w:rsid w:val="00A13A51"/>
    <w:rsid w:val="00A15339"/>
    <w:rsid w:val="00A40E1D"/>
    <w:rsid w:val="00A53287"/>
    <w:rsid w:val="00A60EAE"/>
    <w:rsid w:val="00A67B1F"/>
    <w:rsid w:val="00A76515"/>
    <w:rsid w:val="00AA79BE"/>
    <w:rsid w:val="00B052B3"/>
    <w:rsid w:val="00B25867"/>
    <w:rsid w:val="00B37927"/>
    <w:rsid w:val="00B62C38"/>
    <w:rsid w:val="00B62ED4"/>
    <w:rsid w:val="00BA68DC"/>
    <w:rsid w:val="00C07A19"/>
    <w:rsid w:val="00C45B23"/>
    <w:rsid w:val="00CF5AA0"/>
    <w:rsid w:val="00CF7A6E"/>
    <w:rsid w:val="00D2142C"/>
    <w:rsid w:val="00D27E69"/>
    <w:rsid w:val="00D46EFA"/>
    <w:rsid w:val="00D576CE"/>
    <w:rsid w:val="00D94ECA"/>
    <w:rsid w:val="00DE2A15"/>
    <w:rsid w:val="00E138D0"/>
    <w:rsid w:val="00E15276"/>
    <w:rsid w:val="00E6028A"/>
    <w:rsid w:val="00E65E02"/>
    <w:rsid w:val="00E75C64"/>
    <w:rsid w:val="00E90578"/>
    <w:rsid w:val="00F14D8E"/>
    <w:rsid w:val="00F1764F"/>
    <w:rsid w:val="00F44F67"/>
    <w:rsid w:val="01AD176B"/>
    <w:rsid w:val="01F66ABD"/>
    <w:rsid w:val="02251150"/>
    <w:rsid w:val="0233386D"/>
    <w:rsid w:val="02586BD4"/>
    <w:rsid w:val="02704AC1"/>
    <w:rsid w:val="02C40969"/>
    <w:rsid w:val="03026DEB"/>
    <w:rsid w:val="03F73670"/>
    <w:rsid w:val="04C61E50"/>
    <w:rsid w:val="04CF7890"/>
    <w:rsid w:val="050414F1"/>
    <w:rsid w:val="056106F1"/>
    <w:rsid w:val="058C6BDD"/>
    <w:rsid w:val="05B178CA"/>
    <w:rsid w:val="063B7194"/>
    <w:rsid w:val="06D25D4A"/>
    <w:rsid w:val="0757624F"/>
    <w:rsid w:val="07A91A80"/>
    <w:rsid w:val="089C542D"/>
    <w:rsid w:val="09E638BB"/>
    <w:rsid w:val="09ED2E9B"/>
    <w:rsid w:val="0A126294"/>
    <w:rsid w:val="0A2D79F8"/>
    <w:rsid w:val="0A454A85"/>
    <w:rsid w:val="0A6F38B0"/>
    <w:rsid w:val="0A913826"/>
    <w:rsid w:val="0B5570AE"/>
    <w:rsid w:val="0C8F1FE8"/>
    <w:rsid w:val="0CCA634C"/>
    <w:rsid w:val="0CFF0F1B"/>
    <w:rsid w:val="0D9D0734"/>
    <w:rsid w:val="0F046CBD"/>
    <w:rsid w:val="10196798"/>
    <w:rsid w:val="10B93AD7"/>
    <w:rsid w:val="10BB784F"/>
    <w:rsid w:val="121C431D"/>
    <w:rsid w:val="12E27DBA"/>
    <w:rsid w:val="12E836DB"/>
    <w:rsid w:val="13051255"/>
    <w:rsid w:val="13750189"/>
    <w:rsid w:val="13C46A1B"/>
    <w:rsid w:val="13C77E74"/>
    <w:rsid w:val="13E250F3"/>
    <w:rsid w:val="142A4AE2"/>
    <w:rsid w:val="158E5532"/>
    <w:rsid w:val="162E4574"/>
    <w:rsid w:val="167C182F"/>
    <w:rsid w:val="16893F4C"/>
    <w:rsid w:val="17A50911"/>
    <w:rsid w:val="17BF0C2D"/>
    <w:rsid w:val="17CC663A"/>
    <w:rsid w:val="180839B8"/>
    <w:rsid w:val="194834AD"/>
    <w:rsid w:val="19DB7AF9"/>
    <w:rsid w:val="1A037B71"/>
    <w:rsid w:val="1AD751A4"/>
    <w:rsid w:val="1B410951"/>
    <w:rsid w:val="1C316C17"/>
    <w:rsid w:val="1D941D59"/>
    <w:rsid w:val="1DCA3F6C"/>
    <w:rsid w:val="1E8C71C6"/>
    <w:rsid w:val="1FE30229"/>
    <w:rsid w:val="217B576E"/>
    <w:rsid w:val="220F17A9"/>
    <w:rsid w:val="22715FC0"/>
    <w:rsid w:val="22E76282"/>
    <w:rsid w:val="23376B92"/>
    <w:rsid w:val="2381772A"/>
    <w:rsid w:val="23EF1892"/>
    <w:rsid w:val="240E4C17"/>
    <w:rsid w:val="24415E66"/>
    <w:rsid w:val="24594BF5"/>
    <w:rsid w:val="25072C0B"/>
    <w:rsid w:val="252C2672"/>
    <w:rsid w:val="254C430B"/>
    <w:rsid w:val="25F2391A"/>
    <w:rsid w:val="278F0C96"/>
    <w:rsid w:val="279664C8"/>
    <w:rsid w:val="281E22D5"/>
    <w:rsid w:val="283C7070"/>
    <w:rsid w:val="29C15707"/>
    <w:rsid w:val="29D76730"/>
    <w:rsid w:val="2AAA6513"/>
    <w:rsid w:val="2AEF3F25"/>
    <w:rsid w:val="2AF07C9E"/>
    <w:rsid w:val="2CA3146B"/>
    <w:rsid w:val="2E2C723F"/>
    <w:rsid w:val="2F2D326E"/>
    <w:rsid w:val="30202DD3"/>
    <w:rsid w:val="304C3BC8"/>
    <w:rsid w:val="30AA08EF"/>
    <w:rsid w:val="30E262DA"/>
    <w:rsid w:val="30E738F1"/>
    <w:rsid w:val="315947EF"/>
    <w:rsid w:val="3291620A"/>
    <w:rsid w:val="32D81743"/>
    <w:rsid w:val="33010C9A"/>
    <w:rsid w:val="332130EA"/>
    <w:rsid w:val="335C2374"/>
    <w:rsid w:val="34C93A39"/>
    <w:rsid w:val="36B67FED"/>
    <w:rsid w:val="37C329C2"/>
    <w:rsid w:val="37ED3EE3"/>
    <w:rsid w:val="385156EE"/>
    <w:rsid w:val="387B14EE"/>
    <w:rsid w:val="38B13162"/>
    <w:rsid w:val="39974106"/>
    <w:rsid w:val="39C41890"/>
    <w:rsid w:val="39DF60DF"/>
    <w:rsid w:val="39E135D3"/>
    <w:rsid w:val="3A970136"/>
    <w:rsid w:val="3B111C96"/>
    <w:rsid w:val="3B820DE6"/>
    <w:rsid w:val="3BFE66BE"/>
    <w:rsid w:val="3C30439E"/>
    <w:rsid w:val="3D05582A"/>
    <w:rsid w:val="3D1617E6"/>
    <w:rsid w:val="3D3D6D72"/>
    <w:rsid w:val="3E1A5306"/>
    <w:rsid w:val="3EC3599D"/>
    <w:rsid w:val="3EEC3429"/>
    <w:rsid w:val="3F12422F"/>
    <w:rsid w:val="3F4D34B9"/>
    <w:rsid w:val="3F84512C"/>
    <w:rsid w:val="401C35B7"/>
    <w:rsid w:val="40C61775"/>
    <w:rsid w:val="426973B0"/>
    <w:rsid w:val="43B9111D"/>
    <w:rsid w:val="441668C0"/>
    <w:rsid w:val="4438079D"/>
    <w:rsid w:val="4577303D"/>
    <w:rsid w:val="45A100BA"/>
    <w:rsid w:val="462E0E48"/>
    <w:rsid w:val="46454EEA"/>
    <w:rsid w:val="46B25709"/>
    <w:rsid w:val="470814B6"/>
    <w:rsid w:val="475E44B5"/>
    <w:rsid w:val="47CD33E9"/>
    <w:rsid w:val="48F23721"/>
    <w:rsid w:val="497C6E74"/>
    <w:rsid w:val="4A5B2F2E"/>
    <w:rsid w:val="4BA24DA3"/>
    <w:rsid w:val="4CAC5CC3"/>
    <w:rsid w:val="4D1E4E03"/>
    <w:rsid w:val="4DB40D98"/>
    <w:rsid w:val="4E231FB4"/>
    <w:rsid w:val="4E8B1908"/>
    <w:rsid w:val="4EAD5D22"/>
    <w:rsid w:val="4EC9191C"/>
    <w:rsid w:val="4EF13E61"/>
    <w:rsid w:val="4F1D6A04"/>
    <w:rsid w:val="5038740A"/>
    <w:rsid w:val="510A063D"/>
    <w:rsid w:val="51850890"/>
    <w:rsid w:val="518C7E71"/>
    <w:rsid w:val="5268443A"/>
    <w:rsid w:val="52FE08FA"/>
    <w:rsid w:val="53EC2E48"/>
    <w:rsid w:val="54493DF7"/>
    <w:rsid w:val="54B716A8"/>
    <w:rsid w:val="55090719"/>
    <w:rsid w:val="56257A60"/>
    <w:rsid w:val="568864B6"/>
    <w:rsid w:val="56E30533"/>
    <w:rsid w:val="57016C0B"/>
    <w:rsid w:val="57FD5624"/>
    <w:rsid w:val="5882708A"/>
    <w:rsid w:val="59036C6A"/>
    <w:rsid w:val="5A1804F3"/>
    <w:rsid w:val="5A295824"/>
    <w:rsid w:val="5AB14154"/>
    <w:rsid w:val="5B4B2B4A"/>
    <w:rsid w:val="5BA858A7"/>
    <w:rsid w:val="5BBB199E"/>
    <w:rsid w:val="5BEF34D6"/>
    <w:rsid w:val="5CC26E3C"/>
    <w:rsid w:val="5D5A7075"/>
    <w:rsid w:val="5D706B5B"/>
    <w:rsid w:val="5DAA3B58"/>
    <w:rsid w:val="5E373780"/>
    <w:rsid w:val="5F824661"/>
    <w:rsid w:val="62CF1107"/>
    <w:rsid w:val="62D16DA8"/>
    <w:rsid w:val="638E1826"/>
    <w:rsid w:val="639826A5"/>
    <w:rsid w:val="63BC1969"/>
    <w:rsid w:val="63C4349A"/>
    <w:rsid w:val="63EE6769"/>
    <w:rsid w:val="64496497"/>
    <w:rsid w:val="648F5856"/>
    <w:rsid w:val="64AB401A"/>
    <w:rsid w:val="64C101EF"/>
    <w:rsid w:val="65907AD8"/>
    <w:rsid w:val="65B16F93"/>
    <w:rsid w:val="65D031DC"/>
    <w:rsid w:val="6686712D"/>
    <w:rsid w:val="66FE4F15"/>
    <w:rsid w:val="677B47B7"/>
    <w:rsid w:val="67DD2D7C"/>
    <w:rsid w:val="680B5B3B"/>
    <w:rsid w:val="682E35D8"/>
    <w:rsid w:val="68FB25D3"/>
    <w:rsid w:val="69564B94"/>
    <w:rsid w:val="69CB581E"/>
    <w:rsid w:val="6A58493C"/>
    <w:rsid w:val="6B851761"/>
    <w:rsid w:val="6BCC7390"/>
    <w:rsid w:val="6DF826BE"/>
    <w:rsid w:val="6E1F17E0"/>
    <w:rsid w:val="6E6B7334"/>
    <w:rsid w:val="6ECB7DD2"/>
    <w:rsid w:val="6EDC5B3C"/>
    <w:rsid w:val="6EF410D7"/>
    <w:rsid w:val="70E1568B"/>
    <w:rsid w:val="7265409A"/>
    <w:rsid w:val="72975212"/>
    <w:rsid w:val="72A96669"/>
    <w:rsid w:val="72F53670"/>
    <w:rsid w:val="73374BA6"/>
    <w:rsid w:val="735619D5"/>
    <w:rsid w:val="736D40D5"/>
    <w:rsid w:val="73C57438"/>
    <w:rsid w:val="747B5DF7"/>
    <w:rsid w:val="74BD1F6B"/>
    <w:rsid w:val="76CD3107"/>
    <w:rsid w:val="77CF26E1"/>
    <w:rsid w:val="79876FEC"/>
    <w:rsid w:val="7A482197"/>
    <w:rsid w:val="7B641393"/>
    <w:rsid w:val="7BAC4AE8"/>
    <w:rsid w:val="7BB3231A"/>
    <w:rsid w:val="7C5E5DE2"/>
    <w:rsid w:val="7C6333F8"/>
    <w:rsid w:val="7CB73744"/>
    <w:rsid w:val="7CD51E1C"/>
    <w:rsid w:val="7DB303AF"/>
    <w:rsid w:val="7DC43B5D"/>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next w:val="1"/>
    <w:qFormat/>
    <w:uiPriority w:val="0"/>
    <w:pPr>
      <w:spacing w:beforeAutospacing="1" w:afterAutospacing="1"/>
    </w:pPr>
    <w:rPr>
      <w:rFonts w:cs="Times New Roman"/>
      <w:sz w:val="24"/>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1"/>
    <w:next w:val="6"/>
    <w:qFormat/>
    <w:uiPriority w:val="0"/>
    <w:rPr>
      <w:rFonts w:eastAsia="仿宋_GB2312"/>
      <w:sz w:val="32"/>
      <w:szCs w:val="32"/>
    </w:rPr>
  </w:style>
  <w:style w:type="paragraph" w:customStyle="1" w:styleId="11">
    <w:name w:val="正文文本缩进1"/>
    <w:basedOn w:val="1"/>
    <w:qFormat/>
    <w:uiPriority w:val="0"/>
    <w:pPr>
      <w:ind w:left="20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9"/>
      <w:szCs w:val="19"/>
    </w:rPr>
  </w:style>
  <w:style w:type="character" w:customStyle="1" w:styleId="14">
    <w:name w:val="font11"/>
    <w:basedOn w:val="9"/>
    <w:qFormat/>
    <w:uiPriority w:val="0"/>
    <w:rPr>
      <w:rFonts w:hint="eastAsia" w:ascii="宋体" w:hAnsi="宋体" w:eastAsia="宋体" w:cs="宋体"/>
      <w:color w:val="000000"/>
      <w:sz w:val="22"/>
      <w:szCs w:val="22"/>
      <w:u w:val="none"/>
    </w:rPr>
  </w:style>
  <w:style w:type="character" w:customStyle="1" w:styleId="15">
    <w:name w:val="font31"/>
    <w:basedOn w:val="9"/>
    <w:qFormat/>
    <w:uiPriority w:val="0"/>
    <w:rPr>
      <w:rFonts w:ascii="黑体" w:hAnsi="宋体" w:eastAsia="黑体" w:cs="黑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5296</Words>
  <Characters>5413</Characters>
  <Lines>94</Lines>
  <Paragraphs>26</Paragraphs>
  <TotalTime>16</TotalTime>
  <ScaleCrop>false</ScaleCrop>
  <LinksUpToDate>false</LinksUpToDate>
  <CharactersWithSpaces>5782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2024-09-28T14:50:00Z</dcterms:created>
  <dc:creator>文水县政府办公室主任（齐树亮）</dc:creator>
  <cp:lastModifiedBy>Administrator</cp:lastModifiedBy>
  <cp:lastPrinted>2024-09-27T08:09:00Z</cp:lastPrinted>
  <dcterms:modified xsi:type="dcterms:W3CDTF">2024-12-13T08:07:25Z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2024-09-10T15:23:21Z</vt:filetime>
  </property>
  <property fmtid="{D5CDD505-2E9C-101B-9397-08002B2CF9AE}" pid="4" name="KSOProductBuildVer">
    <vt:lpwstr>2052-12.1.0.19302</vt:lpwstr>
  </property>
  <property fmtid="{D5CDD505-2E9C-101B-9397-08002B2CF9AE}" pid="5" name="ICV">
    <vt:lpwstr>BF7C1A176A9F4E05A78C2D0743C0176C_13</vt:lpwstr>
  </property>
</Properties>
</file>