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cs="黑体" w:eastAsia="黑体" w:hAnsi="黑体" w:hint="eastAsia"/>
          <w:b/>
          <w:bCs/>
          <w:i w:val="false"/>
          <w:iCs w:val="false"/>
          <w:caps w:val="false"/>
          <w:color w:val="3d3d3d"/>
          <w:spacing w:val="0"/>
          <w:sz w:val="44"/>
          <w:szCs w:val="44"/>
          <w:shd w:val="clear" w:color="auto" w:fill="ffffff"/>
        </w:rPr>
      </w:pPr>
      <w:r>
        <w:rPr>
          <w:rFonts w:ascii="黑体" w:cs="黑体" w:eastAsia="黑体" w:hAnsi="黑体" w:hint="eastAsia"/>
          <w:b/>
          <w:bCs/>
          <w:i w:val="false"/>
          <w:iCs w:val="false"/>
          <w:caps w:val="false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僧念</w:t>
      </w:r>
      <w:r>
        <w:rPr>
          <w:rFonts w:ascii="黑体" w:cs="黑体" w:eastAsia="黑体" w:hAnsi="黑体" w:hint="eastAsia"/>
          <w:b/>
          <w:bCs/>
          <w:i w:val="false"/>
          <w:iCs w:val="false"/>
          <w:caps w:val="false"/>
          <w:color w:val="3d3d3d"/>
          <w:spacing w:val="0"/>
          <w:sz w:val="44"/>
          <w:szCs w:val="44"/>
          <w:shd w:val="clear" w:color="auto" w:fill="ffffff"/>
        </w:rPr>
        <w:t>镇2022年政府信息公开工作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3d3d3d"/>
          <w:spacing w:val="0"/>
          <w:sz w:val="44"/>
          <w:szCs w:val="44"/>
          <w:shd w:val="clear" w:color="auto" w:fill="ffffff"/>
        </w:rPr>
      </w:pPr>
      <w:r>
        <w:rPr>
          <w:rFonts w:ascii="黑体" w:cs="黑体" w:eastAsia="黑体" w:hAnsi="黑体" w:hint="eastAsia"/>
          <w:b/>
          <w:bCs/>
          <w:i w:val="false"/>
          <w:iCs w:val="false"/>
          <w:caps w:val="false"/>
          <w:color w:val="3d3d3d"/>
          <w:spacing w:val="0"/>
          <w:sz w:val="44"/>
          <w:szCs w:val="44"/>
          <w:shd w:val="clear" w:color="auto" w:fill="ffffff"/>
        </w:rPr>
        <w:t>年度报告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僧念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镇2022年度政府信息公开工作年度报告根据《中华人民共和国政府信息公开条例》（以下简称《条例》）、《国务院办公厅政府信息与政务公开办公室关于印发及省、市、县各级关于政府信息公开工作的有关规定编制而成，特向社会公布2022年度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僧念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镇政府信息公开年度报告。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一、总体情况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2022年，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僧念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镇深入贯彻落实中央、省、市、县政务公开相关要求，根据国务院办公厅《关于印发2022年政务公开工作要点的通知》要求，强化组织领导，完善工作制度，结合工作实际，坚持将政务公开工作作为镇年度工作的一项重要内容进行部署落实，以公正便民、勤政廉政为基本要求，切实推进政务公开工作有序开展，现将有关情况汇报如下：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3" w:firstLineChars="200"/>
        <w:rPr>
          <w:rFonts w:ascii="楷体" w:cs="楷体" w:eastAsia="楷体" w:hAnsi="楷体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Style w:val="style87"/>
          <w:rFonts w:ascii="楷体" w:cs="楷体" w:eastAsia="楷体" w:hAnsi="楷体" w:hint="eastAsia"/>
          <w:b/>
          <w:bCs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（一）主动公开情况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我镇高度重视政务公开标准化规范化工作，为保证工作顺利开展，由镇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政府镇长贾云钢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牵头，明确分管负责人调度，具办人员落实，确保全面推进基层政务决策公开、执行公开、管理公开、服务公开、结果公开，推动基层政务公开全覆盖，切实保障人民群众的知情权、参与权、表达权、监督权。2022年，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c00000"/>
          <w:spacing w:val="0"/>
          <w:sz w:val="32"/>
          <w:szCs w:val="32"/>
          <w:bdr w:val="none" w:sz="0" w:space="0" w:color="auto"/>
          <w:shd w:val="clear" w:color="auto" w:fill="ffffff"/>
        </w:rPr>
        <w:t>我镇政务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c00000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信息通过公示栏、宣传单等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c00000"/>
          <w:spacing w:val="0"/>
          <w:sz w:val="32"/>
          <w:szCs w:val="32"/>
          <w:bdr w:val="none" w:sz="0" w:space="0" w:color="auto"/>
          <w:shd w:val="clear" w:color="auto" w:fill="ffffff"/>
        </w:rPr>
        <w:t>主动公开各类政务信息</w:t>
      </w:r>
      <w:r>
        <w:rPr>
          <w:rFonts w:ascii="仿宋" w:cs="仿宋" w:eastAsia="仿宋" w:hAnsi="仿宋" w:hint="default"/>
          <w:b w:val="false"/>
          <w:bCs w:val="false"/>
          <w:i w:val="false"/>
          <w:iCs w:val="false"/>
          <w:caps w:val="false"/>
          <w:color w:val="c00000"/>
          <w:spacing w:val="0"/>
          <w:sz w:val="32"/>
          <w:szCs w:val="32"/>
          <w:bdr w:val="none" w:sz="0" w:space="0" w:color="auto"/>
          <w:shd w:val="clear" w:color="auto" w:fill="ffffff"/>
          <w:lang w:val="en-US"/>
        </w:rPr>
        <w:t>157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c00000"/>
          <w:spacing w:val="0"/>
          <w:sz w:val="32"/>
          <w:szCs w:val="32"/>
          <w:bdr w:val="none" w:sz="0" w:space="0" w:color="auto"/>
          <w:shd w:val="clear" w:color="auto" w:fill="ffffff"/>
        </w:rPr>
        <w:t>条，其中政策发布解读</w:t>
      </w:r>
      <w:r>
        <w:rPr>
          <w:rFonts w:ascii="仿宋" w:cs="仿宋" w:eastAsia="仿宋" w:hAnsi="仿宋" w:hint="default"/>
          <w:b w:val="false"/>
          <w:bCs w:val="false"/>
          <w:i w:val="false"/>
          <w:iCs w:val="false"/>
          <w:caps w:val="false"/>
          <w:color w:val="c00000"/>
          <w:spacing w:val="0"/>
          <w:sz w:val="32"/>
          <w:szCs w:val="32"/>
          <w:bdr w:val="none" w:sz="0" w:space="0" w:color="auto"/>
          <w:shd w:val="clear" w:color="auto" w:fill="ffffff"/>
          <w:lang w:val="en-US"/>
        </w:rPr>
        <w:t>118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c00000"/>
          <w:spacing w:val="0"/>
          <w:sz w:val="32"/>
          <w:szCs w:val="32"/>
          <w:bdr w:val="none" w:sz="0" w:space="0" w:color="auto"/>
          <w:shd w:val="clear" w:color="auto" w:fill="ffffff"/>
        </w:rPr>
        <w:t>条，运用了文字、图片图表、问答等多种解读方式；回应关切</w:t>
      </w:r>
      <w:r>
        <w:rPr>
          <w:rFonts w:ascii="仿宋" w:cs="仿宋" w:eastAsia="仿宋" w:hAnsi="仿宋" w:hint="default"/>
          <w:b w:val="false"/>
          <w:bCs w:val="false"/>
          <w:i w:val="false"/>
          <w:iCs w:val="false"/>
          <w:caps w:val="false"/>
          <w:color w:val="c00000"/>
          <w:spacing w:val="0"/>
          <w:sz w:val="32"/>
          <w:szCs w:val="32"/>
          <w:bdr w:val="none" w:sz="0" w:space="0" w:color="auto"/>
          <w:shd w:val="clear" w:color="auto" w:fill="ffffff"/>
          <w:lang w:val="en-US"/>
        </w:rPr>
        <w:t>39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c00000"/>
          <w:spacing w:val="0"/>
          <w:sz w:val="32"/>
          <w:szCs w:val="32"/>
          <w:bdr w:val="none" w:sz="0" w:space="0" w:color="auto"/>
          <w:shd w:val="clear" w:color="auto" w:fill="ffffff"/>
        </w:rPr>
        <w:t>条，其中包括对疫情防控政策、民生保障政策等热点问题的回应；年度重点工作任务分解、执行及落实情况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c00000"/>
          <w:spacing w:val="0"/>
          <w:sz w:val="32"/>
          <w:szCs w:val="32"/>
          <w:bdr w:val="none" w:sz="0" w:space="0" w:color="auto"/>
          <w:shd w:val="clear" w:color="auto" w:fill="ffffff"/>
          <w:lang w:val="en-US" w:eastAsia="zh-CN"/>
        </w:rPr>
        <w:t xml:space="preserve">  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c00000"/>
          <w:spacing w:val="0"/>
          <w:sz w:val="32"/>
          <w:szCs w:val="32"/>
          <w:bdr w:val="none" w:sz="0" w:space="0" w:color="auto"/>
          <w:shd w:val="clear" w:color="auto" w:fill="ffffff"/>
        </w:rPr>
        <w:t>条，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及时向社会公布了我镇阶段性工作的进展和完成情况。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3" w:firstLineChars="200"/>
        <w:jc w:val="left"/>
        <w:rPr>
          <w:rStyle w:val="style87"/>
          <w:rFonts w:ascii="楷体" w:cs="楷体" w:eastAsia="楷体" w:hAnsi="楷体" w:hint="eastAsia"/>
          <w:b/>
          <w:bCs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  <w:r>
        <w:rPr>
          <w:rStyle w:val="style87"/>
          <w:rFonts w:ascii="楷体" w:cs="楷体" w:eastAsia="楷体" w:hAnsi="楷体" w:hint="eastAsia"/>
          <w:b/>
          <w:bCs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（二）依申请公开情况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c00000"/>
          <w:spacing w:val="0"/>
          <w:sz w:val="32"/>
          <w:szCs w:val="32"/>
          <w:bdr w:val="none" w:sz="0" w:space="0" w:color="auto"/>
          <w:shd w:val="clear" w:color="auto" w:fill="ffffff"/>
        </w:rPr>
        <w:t>2022年我镇共收到依申请公开信息0条。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3" w:firstLineChars="200"/>
        <w:rPr>
          <w:rFonts w:ascii="楷体" w:cs="楷体" w:eastAsia="楷体" w:hAnsi="楷体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Style w:val="style87"/>
          <w:rFonts w:ascii="楷体" w:cs="楷体" w:eastAsia="楷体" w:hAnsi="楷体" w:hint="eastAsia"/>
          <w:b/>
          <w:bCs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（三）政府信息管理情况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一是加强组织领导。明确政务公开的内容、形式和制度，由镇主要领导亲自抓，分管负责人具体抓，具办人员落实。要求各部门协调配合，及时提供相关信息，形成“一级抓一级，层层抓落实”的工作格局。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二是严格把关审查。对拟公开的信息先审后发，严把政治关、法律关、政策关、保密关、文字关，确保信息发布的权威性、安全性和公信力，坚决杜绝信息更新不及时、发布存在严重表述错误等问题的发生。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三是紧盯重点领域。及时发布更新政策文件解读、重大决策公开、安全生产、民政各项救助资金公示、民生热点问题回应等重点领域内容，确保政府权力运行公开透明。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3" w:firstLineChars="200"/>
        <w:rPr>
          <w:rFonts w:ascii="楷体" w:cs="楷体" w:eastAsia="楷体" w:hAnsi="楷体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Style w:val="style87"/>
          <w:rFonts w:ascii="楷体" w:cs="楷体" w:eastAsia="楷体" w:hAnsi="楷体" w:hint="eastAsia"/>
          <w:b/>
          <w:bCs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（四）政府信息公开</w:t>
      </w:r>
      <w:r>
        <w:rPr>
          <w:rStyle w:val="style87"/>
          <w:rFonts w:ascii="楷体" w:cs="楷体" w:eastAsia="楷体" w:hAnsi="楷体" w:hint="eastAsia"/>
          <w:b/>
          <w:bCs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内容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根据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上级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要求，完善我镇政府信息主动公开目录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。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对政务实行常态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公开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，明确专人负责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公开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与维护各个领域相关信息</w:t>
      </w:r>
      <w:bookmarkStart w:id="0" w:name="_GoBack"/>
      <w:bookmarkEnd w:id="0"/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3" w:firstLineChars="200"/>
        <w:rPr>
          <w:rFonts w:ascii="楷体" w:cs="楷体" w:eastAsia="楷体" w:hAnsi="楷体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Style w:val="style87"/>
          <w:rFonts w:ascii="楷体" w:cs="楷体" w:eastAsia="楷体" w:hAnsi="楷体" w:hint="eastAsia"/>
          <w:b/>
          <w:bCs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（五）监督保障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一是对照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上级和广大群众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反馈问题及时进行整改；二是公开各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领域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联系人及联系渠道，主动接受社会监督；三是严格落实责任追究制度，对违反制度责任人进行约谈问责，2022年我镇未出现此类情况。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rightChars="0" w:firstLine="640" w:firstLineChars="200"/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val="en-US" w:eastAsia="zh-CN"/>
        </w:rPr>
        <w:t>二、</w:t>
      </w:r>
      <w:r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行政机关主动公开政府信息情况</w:t>
      </w:r>
    </w:p>
    <w:tbl>
      <w:tblPr>
        <w:tblW w:w="7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877"/>
        <w:gridCol w:w="1877"/>
        <w:gridCol w:w="1877"/>
      </w:tblGrid>
      <w:tr>
        <w:trPr>
          <w:trHeight w:val="394" w:hRule="atLeast"/>
          <w:jc w:val="center"/>
        </w:trPr>
        <w:tc>
          <w:tcPr>
            <w:tcW w:w="7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第二十条第(一)项</w:t>
            </w:r>
          </w:p>
        </w:tc>
      </w:tr>
      <w:tr>
        <w:tblPrEx/>
        <w:trPr>
          <w:trHeight w:val="394" w:hRule="atLeast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信息内容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本年制发件数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本年废止件数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现行有效件数</w:t>
            </w:r>
          </w:p>
        </w:tc>
      </w:tr>
      <w:tr>
        <w:tblPrEx/>
        <w:trPr>
          <w:trHeight w:val="394" w:hRule="atLeast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规章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394" w:hRule="atLeast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行政规范性文件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394" w:hRule="atLeast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shd w:val="clear" w:color="auto" w:fill="ffffff"/>
                <w:lang w:val="en-US" w:eastAsia="zh-CN"/>
              </w:rPr>
              <w:t>第二十条第(五)项</w:t>
            </w:r>
          </w:p>
        </w:tc>
      </w:tr>
      <w:tr>
        <w:tblPrEx/>
        <w:trPr>
          <w:trHeight w:val="394" w:hRule="atLeast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本年处理决定数量</w:t>
            </w:r>
          </w:p>
        </w:tc>
      </w:tr>
      <w:tr>
        <w:tblPrEx/>
        <w:trPr>
          <w:trHeight w:val="394" w:hRule="atLeast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行政许可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394" w:hRule="atLeast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第二十条第(六)项</w:t>
            </w:r>
          </w:p>
        </w:tc>
      </w:tr>
      <w:tr>
        <w:tblPrEx/>
        <w:trPr>
          <w:trHeight w:val="394" w:hRule="atLeast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本年处理决定数量</w:t>
            </w:r>
          </w:p>
        </w:tc>
      </w:tr>
      <w:tr>
        <w:tblPrEx/>
        <w:trPr>
          <w:trHeight w:val="394" w:hRule="atLeast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行政处罚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394" w:hRule="atLeast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行政强制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394" w:hRule="atLeast"/>
          <w:jc w:val="center"/>
        </w:trPr>
        <w:tc>
          <w:tcPr>
            <w:tcW w:w="7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第二十条第(八)项</w:t>
            </w:r>
          </w:p>
        </w:tc>
      </w:tr>
      <w:tr>
        <w:tblPrEx/>
        <w:trPr>
          <w:trHeight w:val="394" w:hRule="atLeast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本年收费金额(单位:万元)</w:t>
            </w:r>
          </w:p>
        </w:tc>
      </w:tr>
      <w:tr>
        <w:tblPrEx/>
        <w:trPr>
          <w:trHeight w:val="437" w:hRule="atLeast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eastAsia"/>
                <w:i w:val="false"/>
                <w:iCs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Calibri" w:cs="Calibri" w:eastAsia="宋体" w:hAnsi="Calibri" w:hint="eastAsia"/>
                <w:i w:val="false"/>
                <w:iCs w:val="false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leftChars="200" w:right="0" w:rightChars="0"/>
        <w:jc w:val="left"/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leftChars="200" w:right="0" w:rightChars="0"/>
        <w:jc w:val="left"/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W w:w="9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74"/>
        <w:gridCol w:w="2828"/>
        <w:gridCol w:w="772"/>
        <w:gridCol w:w="687"/>
        <w:gridCol w:w="687"/>
        <w:gridCol w:w="752"/>
        <w:gridCol w:w="732"/>
        <w:gridCol w:w="689"/>
        <w:gridCol w:w="663"/>
      </w:tblGrid>
      <w:tr>
        <w:trPr>
          <w:trHeight w:val="235" w:hRule="atLeast"/>
          <w:jc w:val="center"/>
        </w:trPr>
        <w:tc>
          <w:tcPr>
            <w:tcW w:w="4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(</w:t>
            </w:r>
            <w:r>
              <w:rPr>
                <w:rStyle w:val="style4097"/>
                <w:bdr w:val="none" w:sz="0" w:space="0" w:color="auto"/>
                <w:lang w:val="en-US" w:eastAsia="zh-CN"/>
              </w:rPr>
              <w:t>本列数据的勾稽关系为</w:t>
            </w:r>
            <w:r>
              <w:rPr>
                <w:rStyle w:val="style4098"/>
                <w:rFonts w:eastAsia="宋体"/>
                <w:bdr w:val="none" w:sz="0" w:space="0" w:color="auto"/>
                <w:lang w:val="en-US" w:eastAsia="zh-CN"/>
              </w:rPr>
              <w:t>:</w:t>
            </w:r>
            <w:r>
              <w:rPr>
                <w:rStyle w:val="style4097"/>
                <w:bdr w:val="none" w:sz="0" w:space="0" w:color="auto"/>
                <w:lang w:val="en-US" w:eastAsia="zh-CN"/>
              </w:rPr>
              <w:t>第一项加第二项之和等于第三项加第四项之和</w:t>
            </w:r>
            <w:r>
              <w:rPr>
                <w:rStyle w:val="style4098"/>
                <w:rFonts w:eastAsia="宋体"/>
                <w:bdr w:val="none" w:sz="0" w:space="0" w:color="auto"/>
                <w:lang w:val="en-US" w:eastAsia="zh-CN"/>
              </w:rPr>
              <w:t>)</w:t>
            </w:r>
          </w:p>
        </w:tc>
        <w:tc>
          <w:tcPr>
            <w:tcW w:w="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申请人情况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410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总计</w:t>
            </w:r>
          </w:p>
        </w:tc>
      </w:tr>
      <w:tr>
        <w:tblPrEx/>
        <w:trPr>
          <w:trHeight w:val="688" w:hRule="atLeast"/>
          <w:jc w:val="center"/>
        </w:trPr>
        <w:tc>
          <w:tcPr>
            <w:tcW w:w="410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商业</w:t>
            </w: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br/>
            </w: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企业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科研</w:t>
            </w: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br/>
            </w: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机构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社会公益组织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法律服务机构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235" w:hRule="atLeast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三、本年度办理结果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(一)予以公开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461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(</w:t>
            </w:r>
            <w:r>
              <w:rPr>
                <w:rStyle w:val="style4097"/>
                <w:bdr w:val="none" w:sz="0" w:space="0" w:color="auto"/>
                <w:lang w:val="en-US" w:eastAsia="zh-CN"/>
              </w:rPr>
              <w:t>二</w:t>
            </w:r>
            <w:r>
              <w:rPr>
                <w:rStyle w:val="style4098"/>
                <w:rFonts w:eastAsia="宋体"/>
                <w:bdr w:val="none" w:sz="0" w:space="0" w:color="auto"/>
                <w:lang w:val="en-US" w:eastAsia="zh-CN"/>
              </w:rPr>
              <w:t>)</w:t>
            </w:r>
            <w:r>
              <w:rPr>
                <w:rStyle w:val="style4097"/>
                <w:bdr w:val="none" w:sz="0" w:space="0" w:color="auto"/>
                <w:lang w:val="en-US" w:eastAsia="zh-CN"/>
              </w:rPr>
              <w:t>部分公开</w:t>
            </w:r>
            <w:r>
              <w:rPr>
                <w:rStyle w:val="style4098"/>
                <w:rFonts w:eastAsia="宋体"/>
                <w:bdr w:val="none" w:sz="0" w:space="0" w:color="auto"/>
                <w:lang w:val="en-US" w:eastAsia="zh-CN"/>
              </w:rPr>
              <w:t>(</w:t>
            </w:r>
            <w:r>
              <w:rPr>
                <w:rStyle w:val="style4097"/>
                <w:bdr w:val="none" w:sz="0" w:space="0" w:color="auto"/>
                <w:lang w:val="en-US" w:eastAsia="zh-CN"/>
              </w:rPr>
              <w:t>区分处理的，只计这一情形，不计其他情形</w:t>
            </w:r>
            <w:r>
              <w:rPr>
                <w:rStyle w:val="style4098"/>
                <w:rFonts w:eastAsia="宋体"/>
                <w:bdr w:val="none" w:sz="0" w:space="0" w:color="auto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(三)不予公开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1.属于国家秘密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2.其他法律行政法规禁止公开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3.危及“三安全一稳定”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4.保护第三方合法权益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5.属于三类内部事务信息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6.属于四类过程性信息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7.属于行政执法案卷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8.属于行政查询事项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(四)无法提供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1.本机关不掌握相关政府信息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2.没有现成信息需要另行制作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674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3.补正后申请内容仍不明确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(</w:t>
            </w:r>
            <w:r>
              <w:rPr>
                <w:rStyle w:val="style4097"/>
                <w:bdr w:val="none" w:sz="0" w:space="0" w:color="auto"/>
                <w:lang w:val="en-US" w:eastAsia="zh-CN"/>
              </w:rPr>
              <w:t>五</w:t>
            </w:r>
            <w:r>
              <w:rPr>
                <w:rStyle w:val="style4098"/>
                <w:rFonts w:eastAsia="宋体"/>
                <w:bdr w:val="none" w:sz="0" w:space="0" w:color="auto"/>
                <w:lang w:val="en-US" w:eastAsia="zh-CN"/>
              </w:rPr>
              <w:t>)</w:t>
            </w:r>
            <w:r>
              <w:rPr>
                <w:rStyle w:val="style4097"/>
                <w:bdr w:val="none" w:sz="0" w:space="0" w:color="auto"/>
                <w:lang w:val="en-US" w:eastAsia="zh-CN"/>
              </w:rPr>
              <w:t>不予处理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1.信访举报投诉类申请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2.重复申请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3.要求提供公开出版物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4.无正当理由大量反复申请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461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5.</w:t>
            </w:r>
            <w:r>
              <w:rPr>
                <w:rStyle w:val="style4097"/>
                <w:bdr w:val="none" w:sz="0" w:space="0" w:color="auto"/>
                <w:lang w:val="en-US" w:eastAsia="zh-CN"/>
              </w:rPr>
              <w:t>要求行政机关确认或重新出具已获取信息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688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(六)其他处理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1.</w:t>
            </w:r>
            <w:r>
              <w:rPr>
                <w:rStyle w:val="style4097"/>
                <w:bdr w:val="none" w:sz="0" w:space="0" w:color="auto"/>
                <w:lang w:val="en-US" w:eastAsia="zh-CN"/>
              </w:rPr>
              <w:t>申请人无正当理由逾期不补正、行政机关不再处理其政府信息公开申请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461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2.</w:t>
            </w:r>
            <w:r>
              <w:rPr>
                <w:rStyle w:val="style4097"/>
                <w:bdr w:val="none" w:sz="0" w:space="0" w:color="auto"/>
                <w:lang w:val="en-US" w:eastAsia="zh-CN"/>
              </w:rPr>
              <w:t>申请人逾期未按收费通知要求缴纳费用、行政机关不再处理其政府信息公开申请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3.其他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35" w:hRule="atLeast"/>
          <w:jc w:val="center"/>
        </w:trPr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(七)总计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  <w:tr>
        <w:tblPrEx/>
        <w:trPr>
          <w:trHeight w:val="242" w:hRule="atLeast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四、结转下年度继续办理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</w:tbl>
    <w:p>
      <w:pPr>
        <w:pStyle w:val="style0"/>
        <w:numPr>
          <w:ilvl w:val="0"/>
          <w:numId w:val="0"/>
        </w:numPr>
        <w:jc w:val="both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rightChars="0" w:firstLine="640" w:firstLineChars="200"/>
        <w:jc w:val="left"/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tbl>
      <w:tblPr>
        <w:tblW w:w="7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>
        <w:trPr>
          <w:trHeight w:val="288" w:hRule="atLeast"/>
          <w:jc w:val="center"/>
        </w:trPr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行政复议</w:t>
            </w:r>
          </w:p>
        </w:tc>
        <w:tc>
          <w:tcPr>
            <w:tcW w:w="5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行政诉讼</w:t>
            </w:r>
          </w:p>
        </w:tc>
      </w:tr>
      <w:tr>
        <w:tblPrEx/>
        <w:trPr>
          <w:trHeight w:val="288" w:hRule="atLeast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结果维持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结果</w:t>
            </w: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br/>
            </w: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纠正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其他结果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尚未审结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总计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未经复议直接起诉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复议后起诉</w:t>
            </w:r>
          </w:p>
        </w:tc>
      </w:tr>
      <w:tr>
        <w:tblPrEx/>
        <w:trPr>
          <w:trHeight w:val="620" w:hRule="atLeast"/>
          <w:jc w:val="center"/>
        </w:trPr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结果维持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结果纠正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其他结果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尚未审结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总计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结果维持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结果纠正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其他结果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尚未审结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总计</w:t>
            </w:r>
          </w:p>
        </w:tc>
      </w:tr>
      <w:tr>
        <w:tblPrEx/>
        <w:trPr>
          <w:trHeight w:val="288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Calibri" w:cs="Calibri" w:eastAsia="宋体" w:hAnsi="Calibri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cs="Calibri" w:eastAsia="宋体" w:hAnsi="Calibri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</w:tr>
    </w:tbl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五、存在的主要问题及改进情况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3" w:firstLineChars="200"/>
        <w:rPr>
          <w:rFonts w:ascii="楷体" w:cs="楷体" w:eastAsia="楷体" w:hAnsi="楷体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Style w:val="style87"/>
          <w:rFonts w:ascii="楷体" w:cs="楷体" w:eastAsia="楷体" w:hAnsi="楷体" w:hint="eastAsia"/>
          <w:b/>
          <w:bCs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（一）存在问题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1、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  <w:bdr w:val="none" w:sz="0" w:space="0" w:color="auto"/>
          <w:shd w:val="clear" w:color="auto" w:fill="ffffff"/>
        </w:rPr>
        <w:t>信息公开的内容有待进一步完善，综合服务水平还不够高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2、政务公开工作的实效性不够强，流于形式，自纠自查能力不足。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3、群众知晓度低、参与感弱。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4、来源存在缺口、内容单一。部分事项信息涉密，无权限进行事项公开，信息也多来源各办公室常规性总结和业务总结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3" w:firstLineChars="200"/>
        <w:rPr>
          <w:rFonts w:ascii="楷体" w:cs="楷体" w:eastAsia="楷体" w:hAnsi="楷体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Style w:val="style87"/>
          <w:rFonts w:ascii="楷体" w:cs="楷体" w:eastAsia="楷体" w:hAnsi="楷体" w:hint="eastAsia"/>
          <w:b/>
          <w:bCs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（二）改进情况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一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是进一步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完善政务公开制度。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明确公开时间，方便接受监督。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二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是进一步推进政务信息公开常态化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。立足直接服务人民群众的实际，提高基层政务公开标准化规范化工作知晓率。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三是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进一步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强化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  <w:lang w:eastAsia="zh-CN"/>
        </w:rPr>
        <w:t>政务信息公开</w:t>
      </w: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监督，保障信息更新及时，内容规范。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六、其它需要报告的事项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42"/>
        <w:ind w:right="0" w:firstLine="640" w:firstLineChars="200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d3d3d"/>
          <w:spacing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按照《国务院办公厅关于印发〈政府信息公开信息处理费管理办法〉的通知》（国办函〔2020〕109号）规定的按件、按量收费标准，本年度未产生信息公开处理费。</w:t>
      </w:r>
    </w:p>
    <w:p>
      <w:pPr>
        <w:pStyle w:val="style0"/>
        <w:jc w:val="both"/>
        <w:rPr>
          <w:rFonts w:ascii="仿宋" w:cs="仿宋" w:eastAsia="仿宋" w:hAnsi="仿宋" w:hint="eastAsia"/>
          <w:b w:val="false"/>
          <w:bCs w:val="false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</w:p>
    <w:sectPr>
      <w:pgSz w:w="11906" w:h="16838" w:orient="portrait"/>
      <w:pgMar w:top="2098" w:right="1474" w:bottom="1984" w:left="1587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altName w:val="华文彩云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华文琥珀">
    <w:altName w:val="华文琥珀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华文楷体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隶书">
    <w:altName w:val="华文隶书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方正姚体">
    <w:altName w:val="方正姚体"/>
    <w:panose1 w:val="02010601030000010101"/>
    <w:charset w:val="86"/>
    <w:family w:val="auto"/>
    <w:pitch w:val="default"/>
    <w:sig w:usb0="00000003" w:usb1="080E0000" w:usb2="00000000" w:usb3="00000000" w:csb0="00040000" w:csb1="00000000"/>
  </w:font>
  <w:font w:name="隶书">
    <w:altName w:val="隶书"/>
    <w:panose1 w:val="02010509060000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新宋体"/>
    <w:panose1 w:val="02010609030000010101"/>
    <w:charset w:val="86"/>
    <w:family w:val="auto"/>
    <w:pitch w:val="default"/>
    <w:sig w:usb0="00000203" w:usb1="288F0000" w:usb2="00000006" w:usb3="00000000" w:csb0="00040001" w:csb1="0000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华文宋体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幼圆">
    <w:altName w:val="幼圆"/>
    <w:panose1 w:val="02010509060000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微软雅黑 Light"/>
    <w:panose1 w:val="020b0502040000020203"/>
    <w:charset w:val="86"/>
    <w:family w:val="auto"/>
    <w:pitch w:val="default"/>
    <w:sig w:usb0="80000287" w:usb1="2ACF0010" w:usb2="00000016" w:usb3="00000000" w:csb0="0004001F" w:csb1="00000000"/>
  </w:font>
  <w:font w:name="等线">
    <w:altName w:val="等线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方正舒体">
    <w:altName w:val="方正舒体"/>
    <w:panose1 w:val="02010601030000010101"/>
    <w:charset w:val="86"/>
    <w:family w:val="auto"/>
    <w:pitch w:val="default"/>
    <w:sig w:usb0="00000003" w:usb1="080E0000" w:usb2="00000000" w:usb3="00000000" w:csb0="00040000" w:csb1="00000000"/>
  </w:font>
  <w:font w:name="华文细黑">
    <w:altName w:val="华文细黑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华文仿宋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新魏">
    <w:altName w:val="华文新魏"/>
    <w:panose1 w:val="02010800040000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customStyle="1" w:styleId="style4097">
    <w:name w:val="font21"/>
    <w:basedOn w:val="style65"/>
    <w:next w:val="style4097"/>
    <w:uiPriority w:val="0"/>
    <w:rPr>
      <w:rFonts w:ascii="宋体" w:cs="宋体" w:eastAsia="宋体" w:hAnsi="宋体" w:hint="eastAsia"/>
      <w:color w:val="000000"/>
      <w:sz w:val="22"/>
      <w:szCs w:val="22"/>
      <w:u w:val="none"/>
    </w:rPr>
  </w:style>
  <w:style w:type="character" w:customStyle="1" w:styleId="style4098">
    <w:name w:val="font01"/>
    <w:basedOn w:val="style65"/>
    <w:next w:val="style4098"/>
    <w:uiPriority w:val="0"/>
    <w:rPr>
      <w:rFonts w:ascii="Calibri" w:cs="Calibri" w:hAnsi="Calibri" w:hint="default"/>
      <w:color w:val="000000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Words>2261</Words>
  <Pages>1</Pages>
  <Characters>2314</Characters>
  <Application>WPS Office</Application>
  <DocSecurity>0</DocSecurity>
  <Paragraphs>406</Paragraphs>
  <ScaleCrop>false</ScaleCrop>
  <LinksUpToDate>false</LinksUpToDate>
  <CharactersWithSpaces>2319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2023-01-28T08:58:00Z</dcterms:created>
  <dc:creator>86181</dc:creator>
  <lastModifiedBy>22041211AC</lastModifiedBy>
  <dcterms:modified xsi:type="dcterms:W3CDTF">2023-01-28T11:16:40Z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9438DCF5D57D41C28A7C7DEB9AFEC486</vt:lpwstr>
  </property>
</Properties>
</file>