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591DB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政府信息公开工作年度报告</w:t>
      </w:r>
    </w:p>
    <w:p w14:paraId="52F9F259">
      <w:pPr>
        <w:rPr>
          <w:rFonts w:hint="eastAsia" w:ascii="仿宋" w:hAnsi="仿宋" w:eastAsia="仿宋" w:cs="仿宋"/>
          <w:sz w:val="32"/>
          <w:szCs w:val="32"/>
        </w:rPr>
      </w:pPr>
    </w:p>
    <w:p w14:paraId="41E1FA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一、总体情况</w:t>
      </w:r>
    </w:p>
    <w:p w14:paraId="4385E41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汾西县农业农村局</w:t>
      </w:r>
      <w:r>
        <w:rPr>
          <w:rFonts w:hint="eastAsia" w:ascii="仿宋" w:hAnsi="仿宋" w:eastAsia="仿宋" w:cs="仿宋"/>
          <w:sz w:val="32"/>
          <w:szCs w:val="32"/>
        </w:rPr>
        <w:t>紧紧围绕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中心工作和公众关切，增强公开实效，强化政策解读回应，着力保障人民群众知情权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参与权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表达权和监督权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严格按照上级部门政务公开工作部署和要求，进一步加强组织领导、健全制度机制、明确责任分工，不断拓展信息公开的深度和广度，认真办理各类政府信息公开申请，不断创新公开方式，拓展信息公开渠道，扩大政务公开工作覆盖面，取得较好的成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2024年汾西县农业农村局法定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主动公开政府信息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条，其中政策法规0条，规范性文件0条。办理行政许可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件，办理实施行政处罚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件，行政强制0件。行政事业性收费共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4B4929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Borders>
          <w:top w:val="none" w:color="auto" w:sz="0" w:space="0"/>
          <w:left w:val="single" w:color="auto" w:sz="8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2109"/>
        <w:gridCol w:w="1954"/>
        <w:gridCol w:w="1919"/>
      </w:tblGrid>
      <w:tr w14:paraId="3EFEBF92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AEBDF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 w14:paraId="45083C66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AE0E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84A3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本年制发件数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1E0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C008F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现行有效件数</w:t>
            </w:r>
          </w:p>
        </w:tc>
      </w:tr>
      <w:tr w14:paraId="1A4014B1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150A15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8E9367F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2727D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0A46C9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0BF0C93D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5DCE9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7B0A0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634A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CAA75BC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6A4EE4AC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8E6D9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 w14:paraId="332C22FA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EA1B0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62A66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 w14:paraId="320881A2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E8C39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E51C7E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26DF16E7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E8215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 w14:paraId="46D381C9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7D1D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9A49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 w14:paraId="02A9D65A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95A6F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D523E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</w:tr>
      <w:tr w14:paraId="78098A87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301BD9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4E8AFEA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5D11351B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7A26D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 w14:paraId="4D7F21E0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CC170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0D26F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 w14:paraId="30B5528C">
        <w:tblPrEx>
          <w:tblBorders>
            <w:top w:val="none" w:color="auto" w:sz="0" w:space="0"/>
            <w:left w:val="single" w:color="auto" w:sz="8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7AF450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5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06E72E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2.75万元</w:t>
            </w:r>
          </w:p>
        </w:tc>
      </w:tr>
    </w:tbl>
    <w:p w14:paraId="5D032E24">
      <w:pPr>
        <w:rPr>
          <w:rFonts w:hint="eastAsia" w:ascii="仿宋" w:hAnsi="仿宋" w:eastAsia="仿宋" w:cs="仿宋"/>
          <w:sz w:val="32"/>
          <w:szCs w:val="32"/>
        </w:rPr>
      </w:pPr>
    </w:p>
    <w:p w14:paraId="4EB54F1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三、收到和处理政府信息公开申请情况</w:t>
      </w:r>
    </w:p>
    <w:tbl>
      <w:tblPr>
        <w:tblStyle w:val="4"/>
        <w:tblW w:w="100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874"/>
        <w:gridCol w:w="3532"/>
        <w:gridCol w:w="600"/>
        <w:gridCol w:w="720"/>
        <w:gridCol w:w="737"/>
        <w:gridCol w:w="703"/>
        <w:gridCol w:w="720"/>
        <w:gridCol w:w="514"/>
        <w:gridCol w:w="718"/>
      </w:tblGrid>
      <w:tr w14:paraId="1E1E6F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E25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712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519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申请人情况</w:t>
            </w:r>
          </w:p>
        </w:tc>
      </w:tr>
      <w:tr w14:paraId="00AFF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5DBD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809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3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4C69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7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874F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</w:tr>
      <w:tr w14:paraId="6A554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37B1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B8AA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2F01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06C0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1287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6128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DFDF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717E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553E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471D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46A26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9AA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10F27A"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72C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AA0C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E53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102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22FDE7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3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1C2E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CD0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7437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A12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FC92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BD02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045C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003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17E2F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C32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25E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6150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63A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B5C4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0EE9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810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C69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3DC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114703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A92B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5D22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7459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C18A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05A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D8E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95D0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B961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89F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156B54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A7C9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8FE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（三）不予</w:t>
            </w:r>
          </w:p>
          <w:p w14:paraId="43FA2B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公开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F0B5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5EFA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449C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7CC2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FEB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C24B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6103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21A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078E01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1827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6BD0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05BF7">
            <w:pP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BF3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78DD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4ACB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F778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1B0D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4C857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926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520437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53BE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6739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E22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7485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1198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971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8619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44E3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A24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99D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771003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628C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7308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979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BE79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3592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CCDD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F39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276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13AA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52D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6C636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562C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3E5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565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48EE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4135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EF78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EA0F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7B16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799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52D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4FB142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B3D6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2EBD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123E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D8A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9210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916B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6183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1F59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D2E7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5C0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0451A2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221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F23B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9F0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3E6F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FB08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544B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8887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1B62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B495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D59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5785D2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25C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0A32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0A0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E03B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5631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421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8149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7F07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C51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AD6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6C114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453A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705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（四）无法</w:t>
            </w:r>
          </w:p>
          <w:p w14:paraId="3F3D7C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B41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10B9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3D75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80EC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16D0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B2F1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4234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545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3FEFB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88C3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8C7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2BF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9EC7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AFB4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9A67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312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574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BE8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A6F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05A437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662C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40E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60A6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1438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818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BE8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48EB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A9D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CA54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21F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057732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6F82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92C7A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A8A6DA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不予</w:t>
            </w:r>
          </w:p>
          <w:p w14:paraId="3FD1A75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处理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D202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A70E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AD9B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0824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4CD8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51D2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AF63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84D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074705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67D1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8381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369F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CB2D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1E3B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715C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56A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E22E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A541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307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31460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AE3E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C2C9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356B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7F31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80D1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90BC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C280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D76D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910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80B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0E3288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5FCC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548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218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D326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62AF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165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64C5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D8F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DB91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164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195B35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92EB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E8A4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D0D3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AFF4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5016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AFA9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F136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32DD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2796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AE7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2E9552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E1EB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FE6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D854E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576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C7D2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1F420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53D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7646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B76C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A1B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4D9CC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2FEC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20EE3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1B34C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9C6C4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D0EAA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2CFB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45F9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D0961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91092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A64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C099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C20F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1130A9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1ABD0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E74B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C8B3F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967CC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0CE2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74D3D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36DA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834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E04F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2980E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9EA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B70B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355B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97B3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CB00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1949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6B2D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F2D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526DD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4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C22B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E04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C6C4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227D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1B91D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0AA0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0E93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A50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831E4C3">
      <w:pPr>
        <w:rPr>
          <w:rFonts w:hint="eastAsia" w:ascii="仿宋" w:hAnsi="仿宋" w:eastAsia="仿宋" w:cs="仿宋"/>
          <w:sz w:val="32"/>
          <w:szCs w:val="32"/>
        </w:rPr>
      </w:pPr>
    </w:p>
    <w:p w14:paraId="26EC6CD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755" w:tblpY="294"/>
        <w:tblOverlap w:val="never"/>
        <w:tblW w:w="86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77"/>
        <w:gridCol w:w="578"/>
        <w:gridCol w:w="578"/>
        <w:gridCol w:w="629"/>
        <w:gridCol w:w="543"/>
        <w:gridCol w:w="579"/>
        <w:gridCol w:w="579"/>
        <w:gridCol w:w="579"/>
        <w:gridCol w:w="580"/>
        <w:gridCol w:w="579"/>
        <w:gridCol w:w="579"/>
        <w:gridCol w:w="579"/>
        <w:gridCol w:w="580"/>
        <w:gridCol w:w="583"/>
      </w:tblGrid>
      <w:tr w14:paraId="55D112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9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D46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76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4E9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行政诉讼</w:t>
            </w:r>
          </w:p>
        </w:tc>
      </w:tr>
      <w:tr w14:paraId="7D766B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AE44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DE69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70A0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B128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D58F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8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3AB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2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3C1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复议后起诉</w:t>
            </w:r>
          </w:p>
        </w:tc>
      </w:tr>
      <w:tr w14:paraId="0C1ECE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5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7FBC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029E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C1E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82A0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4FA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9A01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53B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4DC5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131A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DCE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CEAD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1061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74A3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04E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CE1D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总计</w:t>
            </w:r>
          </w:p>
        </w:tc>
      </w:tr>
      <w:tr w14:paraId="1CD7D6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EC523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341FC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68B0D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44B0A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98F61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C1FB8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C64C3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AF6FF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10D81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FFC00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53A08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0ADFE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FE5D3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FAB0A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B0211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E1030B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3140A5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五、存在的主要问题及改进情况</w:t>
      </w:r>
    </w:p>
    <w:p w14:paraId="6E6E5A1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局政府信息公开工作有序开展，取得了良好效果，但公开内容的及时性、全面性以及公开形式的便民性等都需要进一步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完善和规范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6DEFC8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进一步加大政府信息主动公开力度。进一步提高主动公开意识，加大信息公开力度，做到主动、及时、准确公开信息，确保行政权力在阳光下运行。对于部门规章、规范性文件以及其他文件等，在起草制定过程中把办文与公开审查同步考虑，能公开的争取在第一时间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对于与群众切身利益密切相关的信息，切实加大政策解读力度，帮助群众理解政策，推动政策实施。</w:t>
      </w:r>
    </w:p>
    <w:p w14:paraId="12DA63D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进一步规范依申请公开政府信息工作。按照“以公开为原则，不公开为例外”的总体要求，完善主动公开的政府信息目录。重点做好机构职能、农业法律法规政策、农业农村发展规划、农业行政执法及农情动态信息的分类，保证信息内容的完整性。进一步加强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门</w:t>
      </w:r>
      <w:r>
        <w:rPr>
          <w:rFonts w:hint="eastAsia" w:ascii="仿宋" w:hAnsi="仿宋" w:eastAsia="仿宋" w:cs="仿宋"/>
          <w:sz w:val="32"/>
          <w:szCs w:val="32"/>
        </w:rPr>
        <w:t>内各单位、各直属单位之间的沟通协调，既要分工明确，又要配合协作，做到依法、高效、准确地办理依申请公开，保障申请人的合法权益。</w:t>
      </w:r>
    </w:p>
    <w:p w14:paraId="257933D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进一步提高政府信息公开工作的能力和水平。结合“三农”工作实际，进一步贯彻落实好《政府信息公开条例》，通过学习培训、个案指导、分析通报等方式，不断提高县农业农村局政府信息公开工作的能力和水平。同时，不断拓宽政府信息公开渠道，进一步充实网站和微信公众号的服务功能和内容，提高线上服务水平，充分发挥对外窗口作用，使群众能通过网络充分了解政府公开信息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县三农工作开展情况。</w:t>
      </w:r>
    </w:p>
    <w:p w14:paraId="6A6AC93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六、其他需要报告的事项</w:t>
      </w:r>
    </w:p>
    <w:p w14:paraId="7F46736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本年度没有收取信息处理费。</w:t>
      </w:r>
    </w:p>
    <w:p w14:paraId="36F46EC6"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278D2B"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汾西县农业农村局</w:t>
      </w:r>
    </w:p>
    <w:p w14:paraId="18B8CBC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2025年1月26日</w:t>
      </w:r>
      <w:bookmarkStart w:id="0" w:name="_GoBack"/>
      <w:bookmarkEnd w:id="0"/>
    </w:p>
    <w:p w14:paraId="39D01D4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43560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3E9DF"/>
    <w:multiLevelType w:val="singleLevel"/>
    <w:tmpl w:val="7933E9D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WJkYjIyMTBkYmNmM2RmY2M0ZWJiNDY4YTVmM2MifQ=="/>
  </w:docVars>
  <w:rsids>
    <w:rsidRoot w:val="33222EF9"/>
    <w:rsid w:val="042D31B0"/>
    <w:rsid w:val="04F86C7E"/>
    <w:rsid w:val="06BD2BEF"/>
    <w:rsid w:val="07A042F2"/>
    <w:rsid w:val="10443224"/>
    <w:rsid w:val="1220349D"/>
    <w:rsid w:val="142F3D78"/>
    <w:rsid w:val="14ED73D1"/>
    <w:rsid w:val="17FC1A30"/>
    <w:rsid w:val="1D7B5445"/>
    <w:rsid w:val="20D84EC9"/>
    <w:rsid w:val="2235142B"/>
    <w:rsid w:val="243279D1"/>
    <w:rsid w:val="262E5F76"/>
    <w:rsid w:val="268B161A"/>
    <w:rsid w:val="2A7A685C"/>
    <w:rsid w:val="2D0E4090"/>
    <w:rsid w:val="33222EF9"/>
    <w:rsid w:val="33894B01"/>
    <w:rsid w:val="3BBC42F8"/>
    <w:rsid w:val="3DDD605B"/>
    <w:rsid w:val="3E4B4989"/>
    <w:rsid w:val="404E31E7"/>
    <w:rsid w:val="41A73354"/>
    <w:rsid w:val="42853BDD"/>
    <w:rsid w:val="42FE6CD4"/>
    <w:rsid w:val="43C21CC4"/>
    <w:rsid w:val="473A5ACF"/>
    <w:rsid w:val="47E75210"/>
    <w:rsid w:val="4A323057"/>
    <w:rsid w:val="4B6F0B27"/>
    <w:rsid w:val="4C855A6A"/>
    <w:rsid w:val="52DA2B85"/>
    <w:rsid w:val="533D0D03"/>
    <w:rsid w:val="54282C29"/>
    <w:rsid w:val="54937221"/>
    <w:rsid w:val="567A5FE5"/>
    <w:rsid w:val="57AC4DC9"/>
    <w:rsid w:val="5A490FF5"/>
    <w:rsid w:val="5C9347A9"/>
    <w:rsid w:val="5D462444"/>
    <w:rsid w:val="5EFF7ED4"/>
    <w:rsid w:val="609F52E6"/>
    <w:rsid w:val="60AA044E"/>
    <w:rsid w:val="65566374"/>
    <w:rsid w:val="662B08ED"/>
    <w:rsid w:val="6A7C0991"/>
    <w:rsid w:val="6DB46109"/>
    <w:rsid w:val="708D66A0"/>
    <w:rsid w:val="7366631C"/>
    <w:rsid w:val="76F9292E"/>
    <w:rsid w:val="7C3E4ABD"/>
    <w:rsid w:val="7C5C2156"/>
    <w:rsid w:val="7D3905FD"/>
    <w:rsid w:val="7E353266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480</Words>
  <Characters>495</Characters>
  <Lines>0</Lines>
  <Paragraphs>0</Paragraphs>
  <TotalTime>1221</TotalTime>
  <ScaleCrop>false</ScaleCrop>
  <LinksUpToDate>false</LinksUpToDate>
  <CharactersWithSpaces>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2021-01-29T09:49:00Z</dcterms:created>
  <dc:creator>闫文磊</dc:creator>
  <cp:lastModifiedBy>lenovo</cp:lastModifiedBy>
  <cp:lastPrinted>2024-01-25T03:04:00Z</cp:lastPrinted>
  <dcterms:modified xsi:type="dcterms:W3CDTF">2025-03-07T07:47:37Z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CECF8F64BFA34B38971A636B06F788D0_13</vt:lpwstr>
  </property>
  <property fmtid="{D5CDD505-2E9C-101B-9397-08002B2CF9AE}" pid="4" name="KSOTemplateDocerSaveRecord">
    <vt:lpwstr>eyJoZGlkIjoiOWU4NzNkYTM5YmNjMTkwZmVjZTY5MTMzNGM0ZmUzMWMifQ==</vt:lpwstr>
  </property>
</Properties>
</file>