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10.xml" ContentType="application/vnd.ms-office.chartcolorstyle+xml"/>
  <Override PartName="/word/charts/colors11.xml" ContentType="application/vnd.ms-office.chartcolorstyle+xml"/>
  <Override PartName="/word/charts/colors12.xml" ContentType="application/vnd.ms-office.chartcolorstyle+xml"/>
  <Override PartName="/word/charts/colors13.xml" ContentType="application/vnd.ms-office.chartcolorstyle+xml"/>
  <Override PartName="/word/charts/colors14.xml" ContentType="application/vnd.ms-office.chartcolorstyle+xml"/>
  <Override PartName="/word/charts/colors15.xml" ContentType="application/vnd.ms-office.chartcolorstyle+xml"/>
  <Override PartName="/word/charts/colors16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10.xml" ContentType="application/vnd.ms-office.chartstyle+xml"/>
  <Override PartName="/word/charts/style11.xml" ContentType="application/vnd.ms-office.chartstyle+xml"/>
  <Override PartName="/word/charts/style12.xml" ContentType="application/vnd.ms-office.chartstyle+xml"/>
  <Override PartName="/word/charts/style13.xml" ContentType="application/vnd.ms-office.chartstyle+xml"/>
  <Override PartName="/word/charts/style14.xml" ContentType="application/vnd.ms-office.chartstyle+xml"/>
  <Override PartName="/word/charts/style15.xml" ContentType="application/vnd.ms-office.chartstyle+xml"/>
  <Override PartName="/word/charts/style16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sz w:val="40"/>
          <w:szCs w:val="22"/>
          <w:highlight w:val="none"/>
        </w:rPr>
      </w:pPr>
      <w:bookmarkStart w:id="0" w:name="_Toc26317"/>
      <w:bookmarkStart w:id="1" w:name="_Toc28359"/>
      <w:bookmarkStart w:id="2" w:name="_Toc31691"/>
      <w:r>
        <w:rPr>
          <w:rFonts w:hint="eastAsia"/>
          <w:sz w:val="40"/>
          <w:szCs w:val="22"/>
          <w:highlight w:val="none"/>
        </w:rPr>
        <w:t>汾西县202</w:t>
      </w:r>
      <w:r>
        <w:rPr>
          <w:rFonts w:hint="eastAsia"/>
          <w:sz w:val="40"/>
          <w:szCs w:val="22"/>
          <w:highlight w:val="none"/>
          <w:lang w:val="en-US" w:eastAsia="zh-CN"/>
        </w:rPr>
        <w:t>3</w:t>
      </w:r>
      <w:r>
        <w:rPr>
          <w:rFonts w:hint="eastAsia"/>
          <w:sz w:val="40"/>
          <w:szCs w:val="22"/>
          <w:highlight w:val="none"/>
        </w:rPr>
        <w:t>年国民经济和社会发展统计公报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</w:rPr>
        <w:t>山西省汾西县统计局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</w:rPr>
        <w:t>202</w:t>
      </w:r>
      <w:r>
        <w:rPr>
          <w:rFonts w:hint="eastAsia" w:ascii="楷体" w:hAnsi="楷体" w:eastAsia="楷体" w:cs="楷体"/>
          <w:highlight w:val="none"/>
          <w:lang w:val="en-US" w:eastAsia="zh-CN"/>
        </w:rPr>
        <w:t>4</w:t>
      </w:r>
      <w:r>
        <w:rPr>
          <w:rFonts w:hint="eastAsia" w:ascii="楷体" w:hAnsi="楷体" w:eastAsia="楷体" w:cs="楷体"/>
          <w:highlight w:val="none"/>
        </w:rPr>
        <w:t>年</w:t>
      </w:r>
      <w:r>
        <w:rPr>
          <w:rFonts w:hint="eastAsia" w:ascii="楷体" w:hAnsi="楷体" w:eastAsia="楷体" w:cs="楷体"/>
          <w:highlight w:val="none"/>
          <w:lang w:val="en-US" w:eastAsia="zh-CN"/>
        </w:rPr>
        <w:t>4</w:t>
      </w:r>
      <w:r>
        <w:rPr>
          <w:rFonts w:hint="eastAsia" w:ascii="楷体" w:hAnsi="楷体" w:eastAsia="楷体" w:cs="楷体"/>
          <w:highlight w:val="none"/>
        </w:rPr>
        <w:t>月</w:t>
      </w:r>
      <w:r>
        <w:rPr>
          <w:rFonts w:hint="eastAsia" w:ascii="楷体" w:hAnsi="楷体" w:eastAsia="楷体" w:cs="楷体"/>
          <w:highlight w:val="none"/>
          <w:lang w:val="en-US" w:eastAsia="zh-CN"/>
        </w:rPr>
        <w:t>26</w:t>
      </w:r>
      <w:r>
        <w:rPr>
          <w:rFonts w:hint="eastAsia" w:ascii="楷体" w:hAnsi="楷体" w:eastAsia="楷体" w:cs="楷体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highlight w:val="none"/>
        </w:rPr>
      </w:pPr>
    </w:p>
    <w:p>
      <w:pPr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2023年是全面贯彻落实党的二十大精神的开局之年，是实施“十四五”规划承上启下的重要一年。全</w:t>
      </w:r>
      <w:r>
        <w:rPr>
          <w:rFonts w:hint="eastAsia"/>
          <w:color w:val="auto"/>
          <w:highlight w:val="none"/>
          <w:lang w:eastAsia="zh-CN"/>
        </w:rPr>
        <w:t>县</w:t>
      </w:r>
      <w:r>
        <w:rPr>
          <w:rFonts w:hint="eastAsia"/>
          <w:color w:val="auto"/>
          <w:highlight w:val="none"/>
        </w:rPr>
        <w:t>上下在</w:t>
      </w:r>
      <w:r>
        <w:rPr>
          <w:rFonts w:hint="eastAsia"/>
          <w:color w:val="auto"/>
          <w:highlight w:val="none"/>
          <w:lang w:eastAsia="zh-CN"/>
        </w:rPr>
        <w:t>县</w:t>
      </w:r>
      <w:r>
        <w:rPr>
          <w:rFonts w:hint="eastAsia"/>
          <w:color w:val="auto"/>
          <w:highlight w:val="none"/>
        </w:rPr>
        <w:t>委、</w:t>
      </w:r>
      <w:r>
        <w:rPr>
          <w:rFonts w:hint="eastAsia"/>
          <w:color w:val="auto"/>
          <w:highlight w:val="none"/>
          <w:lang w:eastAsia="zh-CN"/>
        </w:rPr>
        <w:t>县</w:t>
      </w:r>
      <w:r>
        <w:rPr>
          <w:rFonts w:hint="eastAsia"/>
          <w:color w:val="auto"/>
          <w:highlight w:val="none"/>
        </w:rPr>
        <w:t>政府的坚强领导下，以习近平新时代中国特色社会主义思想为指导，全面贯彻党的二十大精神和二十届二中全会精神，坚决落实习近平总书记对山西工作的重要讲话重要指示精神，坚持稳中求进工作总基调，立足新发展阶段，贯彻新发展理念，构建新发展格局，经济运行稳中有升，发展韧性逐步增强，民生质量稳定提高，高质量发展取得新成效。</w:t>
      </w:r>
    </w:p>
    <w:p>
      <w:pPr>
        <w:pStyle w:val="5"/>
        <w:bidi w:val="0"/>
        <w:rPr>
          <w:highlight w:val="none"/>
        </w:rPr>
      </w:pPr>
      <w:bookmarkStart w:id="3" w:name="_Toc29757"/>
      <w:bookmarkStart w:id="4" w:name="_Toc8494"/>
      <w:bookmarkStart w:id="5" w:name="_Toc16664"/>
      <w:r>
        <w:rPr>
          <w:rFonts w:hint="eastAsia"/>
          <w:highlight w:val="none"/>
        </w:rPr>
        <w:t>综合</w:t>
      </w:r>
      <w:bookmarkEnd w:id="3"/>
      <w:bookmarkEnd w:id="4"/>
      <w:bookmarkEnd w:id="5"/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初步核算，全年全县地区生产总值319914万元，按不变价格计算，比上年增长</w:t>
      </w:r>
      <w:r>
        <w:rPr>
          <w:rFonts w:hint="eastAsia"/>
          <w:highlight w:val="none"/>
          <w:lang w:val="en-US" w:eastAsia="zh-CN"/>
        </w:rPr>
        <w:t>8.9</w:t>
      </w:r>
      <w:r>
        <w:rPr>
          <w:rFonts w:hint="eastAsia"/>
          <w:highlight w:val="none"/>
        </w:rPr>
        <w:t>%，两年平均增长</w:t>
      </w:r>
      <w:r>
        <w:rPr>
          <w:rFonts w:hint="eastAsia"/>
          <w:highlight w:val="none"/>
          <w:lang w:val="en-US" w:eastAsia="zh-CN"/>
        </w:rPr>
        <w:t>5.4</w:t>
      </w:r>
      <w:r>
        <w:rPr>
          <w:rFonts w:hint="eastAsia"/>
          <w:highlight w:val="none"/>
        </w:rPr>
        <w:t>%。其中，第一产业增加值51715万元，增长</w:t>
      </w:r>
      <w:r>
        <w:rPr>
          <w:rFonts w:hint="eastAsia"/>
          <w:highlight w:val="none"/>
          <w:lang w:val="en-US" w:eastAsia="zh-CN"/>
        </w:rPr>
        <w:t>6.1</w:t>
      </w:r>
      <w:r>
        <w:rPr>
          <w:rFonts w:hint="eastAsia"/>
          <w:highlight w:val="none"/>
        </w:rPr>
        <w:t>%，占生产总值的比重为</w:t>
      </w:r>
      <w:r>
        <w:rPr>
          <w:rFonts w:hint="eastAsia"/>
          <w:highlight w:val="none"/>
          <w:lang w:val="en-US" w:eastAsia="zh-CN"/>
        </w:rPr>
        <w:t>16.17</w:t>
      </w:r>
      <w:r>
        <w:rPr>
          <w:rFonts w:hint="eastAsia"/>
          <w:highlight w:val="none"/>
        </w:rPr>
        <w:t>%；第二产业增加值94963万元，增长</w:t>
      </w:r>
      <w:r>
        <w:rPr>
          <w:rFonts w:hint="eastAsia"/>
          <w:highlight w:val="none"/>
          <w:lang w:val="en-US" w:eastAsia="zh-CN"/>
        </w:rPr>
        <w:t>21.6</w:t>
      </w:r>
      <w:r>
        <w:rPr>
          <w:rFonts w:hint="eastAsia"/>
          <w:highlight w:val="none"/>
        </w:rPr>
        <w:t>%，占生产总值的比重为</w:t>
      </w:r>
      <w:r>
        <w:rPr>
          <w:rFonts w:hint="eastAsia"/>
          <w:highlight w:val="none"/>
          <w:lang w:val="en-US" w:eastAsia="zh-CN"/>
        </w:rPr>
        <w:t>29.68</w:t>
      </w:r>
      <w:r>
        <w:rPr>
          <w:rFonts w:hint="eastAsia"/>
          <w:highlight w:val="none"/>
        </w:rPr>
        <w:t>%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</w:rPr>
        <w:t>第三产业增加值173236万元，增长</w:t>
      </w:r>
      <w:r>
        <w:rPr>
          <w:rFonts w:hint="eastAsia"/>
          <w:highlight w:val="none"/>
          <w:lang w:val="en-US" w:eastAsia="zh-CN"/>
        </w:rPr>
        <w:t>5.4</w:t>
      </w:r>
      <w:r>
        <w:rPr>
          <w:rFonts w:hint="eastAsia"/>
          <w:highlight w:val="none"/>
        </w:rPr>
        <w:t>%，占生产总值的比重为5</w:t>
      </w:r>
      <w:r>
        <w:rPr>
          <w:rFonts w:hint="eastAsia"/>
          <w:highlight w:val="none"/>
          <w:lang w:val="en-US" w:eastAsia="zh-CN"/>
        </w:rPr>
        <w:t>4.15</w:t>
      </w:r>
      <w:r>
        <w:rPr>
          <w:rFonts w:hint="eastAsia"/>
          <w:highlight w:val="none"/>
        </w:rPr>
        <w:t>%。人均地区生产总值</w:t>
      </w:r>
      <w:r>
        <w:rPr>
          <w:rFonts w:hint="eastAsia"/>
          <w:highlight w:val="none"/>
          <w:lang w:val="en-US" w:eastAsia="zh-CN"/>
        </w:rPr>
        <w:t>32851</w:t>
      </w:r>
      <w:r>
        <w:rPr>
          <w:rFonts w:hint="eastAsia"/>
          <w:highlight w:val="none"/>
        </w:rPr>
        <w:t>元，按202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年平均汇率计算为</w:t>
      </w:r>
      <w:r>
        <w:rPr>
          <w:rFonts w:hint="eastAsia"/>
          <w:highlight w:val="none"/>
          <w:lang w:val="en-US" w:eastAsia="zh-CN"/>
        </w:rPr>
        <w:t>4662</w:t>
      </w:r>
      <w:r>
        <w:rPr>
          <w:rFonts w:hint="eastAsia"/>
          <w:highlight w:val="none"/>
        </w:rPr>
        <w:t>美元。</w:t>
      </w:r>
    </w:p>
    <w:p>
      <w:pPr>
        <w:pStyle w:val="6"/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2019—2023年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地区生产总值及其增长速度</w:t>
      </w:r>
    </w:p>
    <w:p>
      <w:pPr>
        <w:pStyle w:val="30"/>
        <w:bidi w:val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770880" cy="3390265"/>
            <wp:effectExtent l="0" t="0" r="1270" b="635"/>
            <wp:docPr id="11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bidi w:val="0"/>
        <w:rPr>
          <w:highlight w:val="none"/>
        </w:rPr>
      </w:pPr>
    </w:p>
    <w:p>
      <w:pPr>
        <w:pStyle w:val="6"/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2019—2023年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地区生产总值构成</w:t>
      </w:r>
    </w:p>
    <w:p>
      <w:pPr>
        <w:pStyle w:val="30"/>
        <w:bidi w:val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613400" cy="3361690"/>
            <wp:effectExtent l="0" t="0" r="6350" b="1016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年末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常住人口</w:t>
      </w:r>
      <w:r>
        <w:rPr>
          <w:rFonts w:hint="eastAsia"/>
          <w:highlight w:val="none"/>
          <w:lang w:val="en-US" w:eastAsia="zh-CN"/>
        </w:rPr>
        <w:t>96637</w:t>
      </w:r>
      <w:r>
        <w:rPr>
          <w:rFonts w:hint="eastAsia"/>
          <w:highlight w:val="none"/>
        </w:rPr>
        <w:t>人，比上年末减少</w:t>
      </w:r>
      <w:r>
        <w:rPr>
          <w:rFonts w:hint="eastAsia"/>
          <w:highlight w:val="none"/>
          <w:lang w:val="en-US" w:eastAsia="zh-CN"/>
        </w:rPr>
        <w:t>1495</w:t>
      </w:r>
      <w:r>
        <w:rPr>
          <w:rFonts w:hint="eastAsia"/>
          <w:highlight w:val="none"/>
        </w:rPr>
        <w:t>人</w:t>
      </w:r>
      <w:r>
        <w:rPr>
          <w:rFonts w:hint="eastAsia"/>
          <w:highlight w:val="none"/>
          <w:lang w:eastAsia="zh-CN"/>
        </w:rPr>
        <w:t>。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常住人口中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城镇常住人口49261人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城镇化率为50.98%，比上年末</w:t>
      </w:r>
      <w:r>
        <w:rPr>
          <w:rFonts w:hint="eastAsia"/>
          <w:color w:val="auto"/>
          <w:highlight w:val="none"/>
          <w:lang w:val="en-US" w:eastAsia="zh-CN"/>
        </w:rPr>
        <w:t>提高1.15个百分点</w:t>
      </w:r>
      <w:r>
        <w:rPr>
          <w:rFonts w:hint="eastAsia"/>
          <w:highlight w:val="none"/>
        </w:rPr>
        <w:t>。全年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出生人口</w:t>
      </w:r>
      <w:r>
        <w:rPr>
          <w:rFonts w:hint="eastAsia"/>
          <w:highlight w:val="none"/>
          <w:lang w:val="en-US" w:eastAsia="zh-CN"/>
        </w:rPr>
        <w:t>467</w:t>
      </w:r>
      <w:r>
        <w:rPr>
          <w:rFonts w:hint="eastAsia"/>
          <w:highlight w:val="none"/>
        </w:rPr>
        <w:t>人，出生率为</w:t>
      </w:r>
      <w:r>
        <w:rPr>
          <w:rFonts w:hint="eastAsia"/>
          <w:highlight w:val="none"/>
          <w:lang w:val="en-US" w:eastAsia="zh-CN"/>
        </w:rPr>
        <w:t>4.80</w:t>
      </w:r>
      <w:r>
        <w:rPr>
          <w:rFonts w:hint="eastAsia"/>
          <w:highlight w:val="none"/>
        </w:rPr>
        <w:t>‰；死亡人口</w:t>
      </w:r>
      <w:r>
        <w:rPr>
          <w:rFonts w:hint="eastAsia"/>
          <w:highlight w:val="none"/>
          <w:lang w:val="en-US" w:eastAsia="zh-CN"/>
        </w:rPr>
        <w:t>1218</w:t>
      </w:r>
      <w:r>
        <w:rPr>
          <w:rFonts w:hint="eastAsia"/>
          <w:highlight w:val="none"/>
        </w:rPr>
        <w:t>人，死亡率为</w:t>
      </w:r>
      <w:r>
        <w:rPr>
          <w:rFonts w:hint="eastAsia"/>
          <w:highlight w:val="none"/>
          <w:lang w:val="en-US" w:eastAsia="zh-CN"/>
        </w:rPr>
        <w:t>12.51</w:t>
      </w:r>
      <w:r>
        <w:rPr>
          <w:rFonts w:hint="eastAsia"/>
          <w:highlight w:val="none"/>
        </w:rPr>
        <w:t>‰；自然增长率为-</w:t>
      </w:r>
      <w:r>
        <w:rPr>
          <w:rFonts w:hint="eastAsia"/>
          <w:highlight w:val="none"/>
          <w:lang w:val="en-US" w:eastAsia="zh-CN"/>
        </w:rPr>
        <w:t>7.71</w:t>
      </w:r>
      <w:r>
        <w:rPr>
          <w:rFonts w:hint="eastAsia"/>
          <w:highlight w:val="none"/>
        </w:rPr>
        <w:t>‰。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常住人口中，男性人口为50278人，占</w:t>
      </w:r>
      <w:r>
        <w:rPr>
          <w:rFonts w:hint="eastAsia"/>
          <w:highlight w:val="none"/>
          <w:lang w:val="en-US" w:eastAsia="zh-CN"/>
        </w:rPr>
        <w:t>52.03</w:t>
      </w:r>
      <w:r>
        <w:rPr>
          <w:rFonts w:hint="eastAsia"/>
          <w:highlight w:val="none"/>
        </w:rPr>
        <w:t>%；女性人口为46359人，占</w:t>
      </w:r>
      <w:r>
        <w:rPr>
          <w:rFonts w:hint="eastAsia"/>
          <w:highlight w:val="none"/>
          <w:lang w:val="en-US" w:eastAsia="zh-CN"/>
        </w:rPr>
        <w:t>47.97</w:t>
      </w:r>
      <w:r>
        <w:rPr>
          <w:rFonts w:hint="eastAsia"/>
          <w:highlight w:val="none"/>
        </w:rPr>
        <w:t>%。</w:t>
      </w:r>
    </w:p>
    <w:p>
      <w:pPr>
        <w:pStyle w:val="2"/>
        <w:rPr>
          <w:rFonts w:hint="eastAsia"/>
          <w:highlight w:val="none"/>
        </w:rPr>
      </w:pPr>
      <w:r>
        <w:rPr>
          <w:rFonts w:hint="eastAsia"/>
          <w:highlight w:val="none"/>
        </w:rPr>
        <w:t>年末</w:t>
      </w:r>
      <w:r>
        <w:rPr>
          <w:rFonts w:hint="eastAsia"/>
          <w:highlight w:val="none"/>
          <w:lang w:val="en-US" w:eastAsia="zh-CN"/>
        </w:rPr>
        <w:t>全县户籍总户数共55825户，户籍</w:t>
      </w:r>
      <w:r>
        <w:rPr>
          <w:rFonts w:hint="eastAsia"/>
          <w:highlight w:val="none"/>
        </w:rPr>
        <w:t>人口</w:t>
      </w:r>
      <w:r>
        <w:rPr>
          <w:rFonts w:hint="eastAsia"/>
          <w:highlight w:val="none"/>
          <w:lang w:val="en-US" w:eastAsia="zh-CN"/>
        </w:rPr>
        <w:t>144321</w:t>
      </w:r>
      <w:r>
        <w:rPr>
          <w:rFonts w:hint="eastAsia"/>
          <w:highlight w:val="none"/>
        </w:rPr>
        <w:t>人，比上年末减少</w:t>
      </w:r>
      <w:r>
        <w:rPr>
          <w:rFonts w:hint="eastAsia"/>
          <w:highlight w:val="none"/>
          <w:lang w:val="en-US" w:eastAsia="zh-CN"/>
        </w:rPr>
        <w:t>841</w:t>
      </w:r>
      <w:r>
        <w:rPr>
          <w:rFonts w:hint="eastAsia"/>
          <w:highlight w:val="none"/>
        </w:rPr>
        <w:t>人</w:t>
      </w:r>
      <w:r>
        <w:rPr>
          <w:rFonts w:hint="eastAsia"/>
          <w:highlight w:val="none"/>
          <w:lang w:eastAsia="zh-CN"/>
        </w:rPr>
        <w:t>。</w:t>
      </w:r>
      <w:r>
        <w:rPr>
          <w:rFonts w:hint="eastAsia"/>
          <w:highlight w:val="none"/>
          <w:lang w:val="en-US" w:eastAsia="zh-CN"/>
        </w:rPr>
        <w:t>全县户籍</w:t>
      </w:r>
      <w:r>
        <w:rPr>
          <w:rFonts w:hint="eastAsia"/>
          <w:highlight w:val="none"/>
        </w:rPr>
        <w:t>人口中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城镇</w:t>
      </w:r>
      <w:r>
        <w:rPr>
          <w:rFonts w:hint="eastAsia"/>
          <w:highlight w:val="none"/>
          <w:lang w:val="en-US" w:eastAsia="zh-CN"/>
        </w:rPr>
        <w:t>户籍</w:t>
      </w:r>
      <w:r>
        <w:rPr>
          <w:rFonts w:hint="eastAsia"/>
          <w:highlight w:val="none"/>
        </w:rPr>
        <w:t>人口</w:t>
      </w:r>
      <w:r>
        <w:rPr>
          <w:rFonts w:hint="eastAsia"/>
          <w:highlight w:val="none"/>
          <w:lang w:val="en-US" w:eastAsia="zh-CN"/>
        </w:rPr>
        <w:t>28898</w:t>
      </w:r>
      <w:r>
        <w:rPr>
          <w:rFonts w:hint="eastAsia"/>
          <w:highlight w:val="none"/>
        </w:rPr>
        <w:t>人</w:t>
      </w:r>
      <w:r>
        <w:rPr>
          <w:rFonts w:hint="eastAsia"/>
          <w:highlight w:val="none"/>
          <w:lang w:eastAsia="zh-CN"/>
        </w:rPr>
        <w:t>，户籍人口</w:t>
      </w:r>
      <w:r>
        <w:rPr>
          <w:rFonts w:hint="eastAsia"/>
          <w:highlight w:val="none"/>
          <w:lang w:val="en-US" w:eastAsia="zh-CN"/>
        </w:rPr>
        <w:t>城镇化率为20.02%，比上年末增长</w:t>
      </w:r>
      <w:r>
        <w:rPr>
          <w:rFonts w:hint="eastAsia"/>
          <w:color w:val="auto"/>
          <w:highlight w:val="none"/>
          <w:lang w:val="en-US" w:eastAsia="zh-CN"/>
        </w:rPr>
        <w:t>0.93个百分点</w:t>
      </w:r>
      <w:r>
        <w:rPr>
          <w:rFonts w:hint="eastAsia"/>
          <w:highlight w:val="none"/>
        </w:rPr>
        <w:t>。</w:t>
      </w:r>
    </w:p>
    <w:p>
      <w:pPr>
        <w:bidi w:val="0"/>
        <w:rPr>
          <w:rFonts w:hint="eastAsia"/>
          <w:highlight w:val="none"/>
        </w:rPr>
      </w:pPr>
    </w:p>
    <w:p>
      <w:pPr>
        <w:pStyle w:val="7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年年末</w:t>
      </w:r>
      <w:r>
        <w:rPr>
          <w:rFonts w:hint="eastAsia"/>
          <w:highlight w:val="none"/>
          <w:lang w:val="en-US" w:eastAsia="zh-CN"/>
        </w:rPr>
        <w:t>全县常住</w:t>
      </w:r>
      <w:r>
        <w:rPr>
          <w:rFonts w:hint="eastAsia"/>
          <w:highlight w:val="none"/>
        </w:rPr>
        <w:t>人口数及其构成</w:t>
      </w:r>
    </w:p>
    <w:tbl>
      <w:tblPr>
        <w:tblStyle w:val="25"/>
        <w:tblW w:w="85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63"/>
        <w:gridCol w:w="3120"/>
        <w:gridCol w:w="242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exact"/>
          <w:jc w:val="center"/>
        </w:trPr>
        <w:tc>
          <w:tcPr>
            <w:tcW w:w="296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指标</w:t>
            </w:r>
          </w:p>
        </w:tc>
        <w:tc>
          <w:tcPr>
            <w:tcW w:w="3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年末人数（人）</w:t>
            </w:r>
          </w:p>
        </w:tc>
        <w:tc>
          <w:tcPr>
            <w:tcW w:w="2421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比重（%）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3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全县人口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96637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其中：城镇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49261</w:t>
            </w:r>
          </w:p>
        </w:tc>
        <w:tc>
          <w:tcPr>
            <w:tcW w:w="242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50.98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ind w:firstLine="1440" w:firstLineChars="60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乡村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47376</w:t>
            </w:r>
          </w:p>
        </w:tc>
        <w:tc>
          <w:tcPr>
            <w:tcW w:w="242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49.02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其中：男性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50278</w:t>
            </w:r>
          </w:p>
        </w:tc>
        <w:tc>
          <w:tcPr>
            <w:tcW w:w="242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52.03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3" w:type="dxa"/>
            <w:tcBorders>
              <w:top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ind w:firstLine="1440" w:firstLineChars="60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女性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46359</w:t>
            </w:r>
          </w:p>
        </w:tc>
        <w:tc>
          <w:tcPr>
            <w:tcW w:w="2421" w:type="dxa"/>
            <w:tcBorders>
              <w:top w:val="nil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47.97</w:t>
            </w:r>
          </w:p>
        </w:tc>
      </w:tr>
    </w:tbl>
    <w:p>
      <w:pPr>
        <w:rPr>
          <w:rFonts w:hint="eastAsia"/>
          <w:color w:val="0000FF"/>
          <w:highlight w:val="none"/>
        </w:rPr>
      </w:pPr>
    </w:p>
    <w:p>
      <w:pPr>
        <w:pStyle w:val="6"/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2014—2023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常住人口数及城镇化率</w:t>
      </w:r>
    </w:p>
    <w:p>
      <w:pPr>
        <w:pStyle w:val="30"/>
        <w:bidi w:val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608320" cy="2825115"/>
            <wp:effectExtent l="0" t="0" r="11430" b="13335"/>
            <wp:docPr id="2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bidi w:val="0"/>
        <w:rPr>
          <w:highlight w:val="none"/>
        </w:rPr>
      </w:pPr>
    </w:p>
    <w:p>
      <w:pPr>
        <w:pStyle w:val="5"/>
        <w:bidi w:val="0"/>
        <w:rPr>
          <w:highlight w:val="none"/>
        </w:rPr>
      </w:pPr>
      <w:bookmarkStart w:id="6" w:name="_Toc30145"/>
      <w:bookmarkStart w:id="7" w:name="_Toc4383"/>
      <w:bookmarkStart w:id="8" w:name="_Toc18924"/>
      <w:r>
        <w:rPr>
          <w:rFonts w:hint="eastAsia"/>
          <w:highlight w:val="none"/>
        </w:rPr>
        <w:t>农业</w:t>
      </w:r>
      <w:bookmarkEnd w:id="6"/>
      <w:bookmarkEnd w:id="7"/>
      <w:bookmarkEnd w:id="8"/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全年全县农作物种植面积415355.5亩，比上年增加1323.7亩，增长0.32%。其中，粮食种植面积392671.3亩，增加93.1亩；油料种植面积5021.3亩，增加1203.8亩；中药材种植面积6316亩，减少385亩；蔬菜种植面积10100.2亩，增加460.9亩；在粮食种植面积，其中：玉米种植面积253889.5亩，增加13461.5亩；小麦种植面积98376亩，减少22064亩。果园种植面积6719.6亩，增加366亩，增长5.8%。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全年全县粮食产量75871</w:t>
      </w:r>
      <w:r>
        <w:rPr>
          <w:rFonts w:hint="eastAsia"/>
          <w:highlight w:val="none"/>
          <w:lang w:val="en-US" w:eastAsia="zh-CN"/>
        </w:rPr>
        <w:t>.4</w:t>
      </w:r>
      <w:r>
        <w:rPr>
          <w:rFonts w:hint="eastAsia"/>
          <w:highlight w:val="none"/>
        </w:rPr>
        <w:t>吨，比上年增加577吨，增长0.77%。其中，夏粮2010</w:t>
      </w:r>
      <w:r>
        <w:rPr>
          <w:rFonts w:hint="eastAsia"/>
          <w:highlight w:val="none"/>
          <w:lang w:val="en-US" w:eastAsia="zh-CN"/>
        </w:rPr>
        <w:t>3.8</w:t>
      </w:r>
      <w:r>
        <w:rPr>
          <w:rFonts w:hint="eastAsia"/>
          <w:highlight w:val="none"/>
        </w:rPr>
        <w:t>吨，下降15.89%；秋粮5576</w:t>
      </w:r>
      <w:r>
        <w:rPr>
          <w:rFonts w:hint="eastAsia"/>
          <w:highlight w:val="none"/>
          <w:lang w:val="en-US" w:eastAsia="zh-CN"/>
        </w:rPr>
        <w:t>7.6</w:t>
      </w:r>
      <w:r>
        <w:rPr>
          <w:rFonts w:hint="eastAsia"/>
          <w:highlight w:val="none"/>
        </w:rPr>
        <w:t>吨，增长8.51%。</w:t>
      </w:r>
    </w:p>
    <w:p>
      <w:pPr>
        <w:pStyle w:val="2"/>
        <w:rPr>
          <w:rFonts w:hint="eastAsia"/>
          <w:highlight w:val="none"/>
        </w:rPr>
      </w:pPr>
    </w:p>
    <w:p>
      <w:pPr>
        <w:pStyle w:val="7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年全县主要农林产品产量及其增长速度</w:t>
      </w:r>
    </w:p>
    <w:tbl>
      <w:tblPr>
        <w:tblStyle w:val="25"/>
        <w:tblW w:w="85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8"/>
        <w:gridCol w:w="2546"/>
        <w:gridCol w:w="278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54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产品名称</w:t>
            </w:r>
          </w:p>
        </w:tc>
        <w:tc>
          <w:tcPr>
            <w:tcW w:w="20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ind w:firstLine="0" w:firstLineChars="0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产量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吨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2224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ind w:firstLine="0" w:firstLineChars="0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比上年增长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%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42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1"/>
                <w:highlight w:val="none"/>
              </w:rPr>
            </w:pPr>
            <w:r>
              <w:rPr>
                <w:rFonts w:hint="eastAsia"/>
                <w:sz w:val="24"/>
                <w:szCs w:val="21"/>
                <w:highlight w:val="none"/>
              </w:rPr>
              <w:t>粮  食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75871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0.77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42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1"/>
                <w:highlight w:val="none"/>
              </w:rPr>
            </w:pPr>
            <w:r>
              <w:rPr>
                <w:rFonts w:hint="eastAsia"/>
                <w:sz w:val="24"/>
                <w:szCs w:val="21"/>
                <w:highlight w:val="none"/>
              </w:rPr>
              <w:t xml:space="preserve">  其中：玉  米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49601</w:t>
            </w:r>
          </w:p>
        </w:tc>
        <w:tc>
          <w:tcPr>
            <w:tcW w:w="222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8.34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42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1"/>
                <w:highlight w:val="none"/>
              </w:rPr>
            </w:pPr>
            <w:r>
              <w:rPr>
                <w:rFonts w:hint="eastAsia"/>
                <w:sz w:val="24"/>
                <w:szCs w:val="21"/>
                <w:highlight w:val="none"/>
              </w:rPr>
              <w:t xml:space="preserve">        小  麦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20104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-15.89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42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1"/>
                <w:highlight w:val="none"/>
              </w:rPr>
            </w:pPr>
            <w:r>
              <w:rPr>
                <w:rFonts w:hint="eastAsia"/>
                <w:sz w:val="24"/>
                <w:szCs w:val="21"/>
                <w:highlight w:val="none"/>
              </w:rPr>
              <w:t xml:space="preserve">        谷  子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973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-7.60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42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1"/>
                <w:highlight w:val="none"/>
              </w:rPr>
            </w:pPr>
            <w:r>
              <w:rPr>
                <w:rFonts w:hint="eastAsia"/>
                <w:sz w:val="24"/>
                <w:szCs w:val="21"/>
                <w:highlight w:val="none"/>
              </w:rPr>
              <w:t xml:space="preserve">        豆  类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1275</w:t>
            </w:r>
          </w:p>
        </w:tc>
        <w:tc>
          <w:tcPr>
            <w:tcW w:w="222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-0.3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42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1"/>
                <w:highlight w:val="none"/>
              </w:rPr>
            </w:pPr>
            <w:r>
              <w:rPr>
                <w:rFonts w:hint="eastAsia"/>
                <w:sz w:val="24"/>
                <w:szCs w:val="21"/>
                <w:highlight w:val="none"/>
              </w:rPr>
              <w:t xml:space="preserve">        薯  类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17456</w:t>
            </w:r>
          </w:p>
        </w:tc>
        <w:tc>
          <w:tcPr>
            <w:tcW w:w="222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56.44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42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1"/>
                <w:highlight w:val="none"/>
              </w:rPr>
            </w:pPr>
            <w:r>
              <w:rPr>
                <w:rFonts w:hint="eastAsia"/>
                <w:sz w:val="24"/>
                <w:szCs w:val="21"/>
                <w:highlight w:val="none"/>
              </w:rPr>
              <w:t>油  料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764.5</w:t>
            </w:r>
          </w:p>
        </w:tc>
        <w:tc>
          <w:tcPr>
            <w:tcW w:w="222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78.96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42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1"/>
                <w:highlight w:val="none"/>
              </w:rPr>
            </w:pPr>
            <w:r>
              <w:rPr>
                <w:rFonts w:hint="eastAsia"/>
                <w:sz w:val="24"/>
                <w:szCs w:val="21"/>
                <w:highlight w:val="none"/>
              </w:rPr>
              <w:t>棉  花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42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1"/>
                <w:highlight w:val="none"/>
              </w:rPr>
            </w:pPr>
            <w:r>
              <w:rPr>
                <w:rFonts w:hint="eastAsia"/>
                <w:sz w:val="24"/>
                <w:szCs w:val="21"/>
                <w:highlight w:val="none"/>
              </w:rPr>
              <w:t>蔬  菜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14129.3</w:t>
            </w:r>
          </w:p>
        </w:tc>
        <w:tc>
          <w:tcPr>
            <w:tcW w:w="222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11.92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42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1"/>
                <w:highlight w:val="none"/>
              </w:rPr>
            </w:pPr>
            <w:r>
              <w:rPr>
                <w:rFonts w:hint="eastAsia"/>
                <w:sz w:val="24"/>
                <w:szCs w:val="21"/>
                <w:highlight w:val="none"/>
              </w:rPr>
              <w:t>水  果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8170.6</w:t>
            </w:r>
          </w:p>
        </w:tc>
        <w:tc>
          <w:tcPr>
            <w:tcW w:w="222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21.2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42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</w:rPr>
              <w:t xml:space="preserve">  其中：</w:t>
            </w:r>
            <w:r>
              <w:rPr>
                <w:rFonts w:hint="eastAsia"/>
                <w:sz w:val="24"/>
                <w:szCs w:val="21"/>
                <w:highlight w:val="none"/>
                <w:lang w:eastAsia="zh-CN"/>
              </w:rPr>
              <w:t>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1"/>
                <w:highlight w:val="none"/>
              </w:rPr>
            </w:pP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7466.1</w:t>
            </w:r>
          </w:p>
        </w:tc>
        <w:tc>
          <w:tcPr>
            <w:tcW w:w="222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42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1"/>
                <w:highlight w:val="none"/>
              </w:rPr>
            </w:pPr>
            <w:r>
              <w:rPr>
                <w:rFonts w:hint="eastAsia"/>
                <w:sz w:val="24"/>
                <w:szCs w:val="21"/>
                <w:highlight w:val="none"/>
              </w:rPr>
              <w:t xml:space="preserve">        红  枣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7.1</w:t>
            </w:r>
          </w:p>
        </w:tc>
        <w:tc>
          <w:tcPr>
            <w:tcW w:w="222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-11.25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42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</w:rPr>
              <w:t>食用坚果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704.5</w:t>
            </w:r>
          </w:p>
        </w:tc>
        <w:tc>
          <w:tcPr>
            <w:tcW w:w="222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-11.95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42" w:type="dxa"/>
            <w:tcBorders>
              <w:top w:val="nil"/>
              <w:right w:val="single" w:color="auto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</w:rPr>
              <w:t>其中：核  桃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704.5</w:t>
            </w:r>
          </w:p>
        </w:tc>
        <w:tc>
          <w:tcPr>
            <w:tcW w:w="2224" w:type="dxa"/>
            <w:tcBorders>
              <w:top w:val="nil"/>
              <w:lef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highlight w:val="none"/>
                <w:lang w:val="en-US" w:eastAsia="zh-CN"/>
              </w:rPr>
              <w:t>-11.95</w:t>
            </w:r>
          </w:p>
        </w:tc>
      </w:tr>
    </w:tbl>
    <w:p>
      <w:pPr>
        <w:rPr>
          <w:rFonts w:hint="eastAsia"/>
          <w:color w:val="0000FF"/>
          <w:highlight w:val="none"/>
        </w:rPr>
      </w:pP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全年全县猪牛羊禽肉总产量21624.5吨，比上年增加27.35%。其中，猪肉产量3195.9吨，增长13.14%；牛肉产量494.2吨，增长7.18%；羊肉产量393.1吨，增长-13.01%；禽肉产量17541.4吨，增长32.46%。年末生猪存栏34385头，生猪出栏40534头；牛存栏8654头，牛出栏3069头；羊存栏43233只，羊出栏27114只；牛奶产量395.5吨，增长37.60%。禽蛋产量3735.6吨，增长25.63%。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年末全县农业机械总动力</w:t>
      </w:r>
      <w:r>
        <w:rPr>
          <w:rFonts w:hint="eastAsia"/>
          <w:highlight w:val="none"/>
          <w:lang w:val="en-US" w:eastAsia="zh-CN"/>
        </w:rPr>
        <w:t>82231</w:t>
      </w:r>
      <w:r>
        <w:rPr>
          <w:rFonts w:hint="eastAsia"/>
          <w:highlight w:val="none"/>
        </w:rPr>
        <w:t>千瓦，比上年增长</w:t>
      </w:r>
      <w:r>
        <w:rPr>
          <w:rFonts w:hint="eastAsia"/>
          <w:highlight w:val="none"/>
          <w:lang w:val="en-US" w:eastAsia="zh-CN"/>
        </w:rPr>
        <w:t>5.0</w:t>
      </w:r>
      <w:r>
        <w:rPr>
          <w:rFonts w:hint="eastAsia"/>
          <w:highlight w:val="none"/>
        </w:rPr>
        <w:t>%。机械耕地面积</w:t>
      </w:r>
      <w:r>
        <w:rPr>
          <w:rFonts w:hint="eastAsia"/>
          <w:highlight w:val="none"/>
          <w:lang w:val="en-US" w:eastAsia="zh-CN"/>
        </w:rPr>
        <w:t>22225</w:t>
      </w:r>
      <w:r>
        <w:rPr>
          <w:rFonts w:hint="eastAsia"/>
          <w:highlight w:val="none"/>
        </w:rPr>
        <w:t>公顷，</w:t>
      </w:r>
      <w:r>
        <w:rPr>
          <w:rFonts w:hint="eastAsia"/>
          <w:highlight w:val="none"/>
          <w:lang w:val="en-US" w:eastAsia="zh-CN"/>
        </w:rPr>
        <w:t>下降4.0</w:t>
      </w:r>
      <w:r>
        <w:rPr>
          <w:rFonts w:hint="eastAsia"/>
          <w:highlight w:val="none"/>
        </w:rPr>
        <w:t>%；机械播种面积</w:t>
      </w:r>
      <w:r>
        <w:rPr>
          <w:rFonts w:hint="eastAsia"/>
          <w:highlight w:val="none"/>
          <w:lang w:val="en-US" w:eastAsia="zh-CN"/>
        </w:rPr>
        <w:t>17870</w:t>
      </w:r>
      <w:r>
        <w:rPr>
          <w:rFonts w:hint="eastAsia"/>
          <w:highlight w:val="none"/>
        </w:rPr>
        <w:t>公顷，</w:t>
      </w:r>
      <w:r>
        <w:rPr>
          <w:rFonts w:hint="eastAsia"/>
          <w:highlight w:val="none"/>
          <w:lang w:val="en-US" w:eastAsia="zh-CN"/>
        </w:rPr>
        <w:t>下降6.0</w:t>
      </w:r>
      <w:r>
        <w:rPr>
          <w:rFonts w:hint="eastAsia"/>
          <w:highlight w:val="none"/>
        </w:rPr>
        <w:t>%，机械收获面积</w:t>
      </w:r>
      <w:r>
        <w:rPr>
          <w:rFonts w:hint="eastAsia"/>
          <w:highlight w:val="none"/>
          <w:lang w:val="en-US" w:eastAsia="zh-CN"/>
        </w:rPr>
        <w:t>12775</w:t>
      </w:r>
      <w:r>
        <w:rPr>
          <w:rFonts w:hint="eastAsia"/>
          <w:highlight w:val="none"/>
        </w:rPr>
        <w:t>公顷，增长</w:t>
      </w:r>
      <w:r>
        <w:rPr>
          <w:rFonts w:hint="eastAsia"/>
          <w:highlight w:val="none"/>
          <w:lang w:val="en-US" w:eastAsia="zh-CN"/>
        </w:rPr>
        <w:t>51.7</w:t>
      </w:r>
      <w:r>
        <w:rPr>
          <w:rFonts w:hint="eastAsia"/>
          <w:highlight w:val="none"/>
        </w:rPr>
        <w:t>%。全县农机化经营总收入达到</w:t>
      </w:r>
      <w:r>
        <w:rPr>
          <w:rFonts w:hint="eastAsia"/>
          <w:highlight w:val="none"/>
          <w:lang w:val="en-US" w:eastAsia="zh-CN"/>
        </w:rPr>
        <w:t>2684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增长4.2</w:t>
      </w:r>
      <w:r>
        <w:rPr>
          <w:rFonts w:hint="eastAsia"/>
          <w:highlight w:val="none"/>
        </w:rPr>
        <w:t>%。</w:t>
      </w:r>
    </w:p>
    <w:p>
      <w:pPr>
        <w:bidi w:val="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</w:rPr>
        <w:t>年末全县</w:t>
      </w:r>
      <w:r>
        <w:rPr>
          <w:rFonts w:hint="eastAsia"/>
          <w:highlight w:val="none"/>
          <w:lang w:val="en-US" w:eastAsia="zh-CN"/>
        </w:rPr>
        <w:t>拥有</w:t>
      </w:r>
      <w:r>
        <w:rPr>
          <w:rFonts w:hint="eastAsia"/>
          <w:highlight w:val="none"/>
        </w:rPr>
        <w:t>大中型农用拖拉机</w:t>
      </w:r>
      <w:r>
        <w:rPr>
          <w:rFonts w:hint="eastAsia"/>
          <w:highlight w:val="none"/>
          <w:lang w:val="en-US" w:eastAsia="zh-CN"/>
        </w:rPr>
        <w:t>53</w:t>
      </w:r>
      <w:r>
        <w:rPr>
          <w:rFonts w:hint="eastAsia"/>
          <w:highlight w:val="none"/>
        </w:rPr>
        <w:t>台</w:t>
      </w:r>
      <w:r>
        <w:rPr>
          <w:rFonts w:hint="eastAsia"/>
          <w:highlight w:val="none"/>
          <w:lang w:eastAsia="zh-CN"/>
        </w:rPr>
        <w:t>，小型农用拖拉机</w:t>
      </w:r>
      <w:r>
        <w:rPr>
          <w:rFonts w:hint="eastAsia"/>
          <w:highlight w:val="none"/>
          <w:lang w:val="en-US" w:eastAsia="zh-CN"/>
        </w:rPr>
        <w:t>938</w:t>
      </w:r>
      <w:r>
        <w:rPr>
          <w:rFonts w:hint="eastAsia"/>
          <w:highlight w:val="none"/>
          <w:lang w:eastAsia="zh-CN"/>
        </w:rPr>
        <w:t>台。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  <w:lang w:eastAsia="zh-CN"/>
        </w:rPr>
        <w:t>三品一标农产品认证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  <w:lang w:eastAsia="zh-CN"/>
        </w:rPr>
        <w:t>个，其中：绿色食品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  <w:lang w:eastAsia="zh-CN"/>
        </w:rPr>
        <w:t>个；休闲农业经营主体</w:t>
      </w: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  <w:lang w:eastAsia="zh-CN"/>
        </w:rPr>
        <w:t>个，</w:t>
      </w:r>
      <w:r>
        <w:rPr>
          <w:rFonts w:hint="eastAsia"/>
          <w:highlight w:val="none"/>
          <w:lang w:val="en-US" w:eastAsia="zh-CN"/>
        </w:rPr>
        <w:t>休闲农业和乡村旅游接待72000人次。全县秸秆还田面积250000亩。</w:t>
      </w:r>
    </w:p>
    <w:p>
      <w:pPr>
        <w:pStyle w:val="5"/>
        <w:bidi w:val="0"/>
        <w:rPr>
          <w:highlight w:val="none"/>
        </w:rPr>
      </w:pPr>
      <w:bookmarkStart w:id="9" w:name="_Toc30255"/>
      <w:bookmarkStart w:id="10" w:name="_Toc14471"/>
      <w:bookmarkStart w:id="11" w:name="_Toc8254"/>
      <w:r>
        <w:rPr>
          <w:rFonts w:hint="eastAsia"/>
          <w:highlight w:val="none"/>
        </w:rPr>
        <w:t>工业和建筑业</w:t>
      </w:r>
      <w:bookmarkEnd w:id="9"/>
      <w:bookmarkEnd w:id="10"/>
      <w:bookmarkEnd w:id="11"/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2023年末全县规模以上工业企业11家。全年全县规模以上工业增加值比上年增长25.2%。其中，采矿业增长31.3%，制造业增长2.5%，电力、热力、燃气及水生产和供应业下降2.7%。</w:t>
      </w:r>
    </w:p>
    <w:p>
      <w:pPr>
        <w:pStyle w:val="6"/>
        <w:bidi w:val="0"/>
        <w:rPr>
          <w:highlight w:val="none"/>
        </w:rPr>
      </w:pPr>
      <w:r>
        <w:rPr>
          <w:rFonts w:hint="eastAsia"/>
          <w:highlight w:val="none"/>
          <w:lang w:eastAsia="zh-CN"/>
        </w:rPr>
        <w:t>2019—2023年</w:t>
      </w:r>
      <w:r>
        <w:rPr>
          <w:rFonts w:hint="eastAsia"/>
          <w:highlight w:val="none"/>
        </w:rPr>
        <w:t>全县规模以上工业增加值增长速度</w:t>
      </w:r>
    </w:p>
    <w:p>
      <w:pPr>
        <w:pStyle w:val="30"/>
        <w:bidi w:val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624830" cy="3161665"/>
            <wp:effectExtent l="0" t="0" r="13970" b="635"/>
            <wp:docPr id="2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7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规模以上工业主要行业增加值增长速度</w:t>
      </w:r>
    </w:p>
    <w:tbl>
      <w:tblPr>
        <w:tblStyle w:val="25"/>
        <w:tblW w:w="85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9"/>
        <w:gridCol w:w="390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459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390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比上年增长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4599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规模以上工业</w:t>
            </w:r>
          </w:p>
        </w:tc>
        <w:tc>
          <w:tcPr>
            <w:tcW w:w="3905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25.2</w:t>
            </w:r>
          </w:p>
          <w:p>
            <w:pPr>
              <w:pStyle w:val="2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4599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其中：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能源工业</w:t>
            </w:r>
          </w:p>
        </w:tc>
        <w:tc>
          <w:tcPr>
            <w:tcW w:w="3905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4599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煤炭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3905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4599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非煤工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业</w:t>
            </w:r>
          </w:p>
        </w:tc>
        <w:tc>
          <w:tcPr>
            <w:tcW w:w="3905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4599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非能源工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业</w:t>
            </w:r>
          </w:p>
        </w:tc>
        <w:tc>
          <w:tcPr>
            <w:tcW w:w="3905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4599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四大支柱产业</w:t>
            </w:r>
          </w:p>
        </w:tc>
        <w:tc>
          <w:tcPr>
            <w:tcW w:w="3905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29.8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4599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非传统工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业</w:t>
            </w:r>
          </w:p>
        </w:tc>
        <w:tc>
          <w:tcPr>
            <w:tcW w:w="3905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4599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其中：煤炭开采和洗选业</w:t>
            </w:r>
          </w:p>
        </w:tc>
        <w:tc>
          <w:tcPr>
            <w:tcW w:w="3905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4599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食品加工和制造业</w:t>
            </w:r>
          </w:p>
        </w:tc>
        <w:tc>
          <w:tcPr>
            <w:tcW w:w="3905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4599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    电力、生产和供应业</w:t>
            </w:r>
          </w:p>
        </w:tc>
        <w:tc>
          <w:tcPr>
            <w:tcW w:w="3905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-1.0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4599" w:type="dxa"/>
            <w:tcBorders>
              <w:top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热力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生产和供应业</w:t>
            </w:r>
          </w:p>
        </w:tc>
        <w:tc>
          <w:tcPr>
            <w:tcW w:w="3905" w:type="dxa"/>
            <w:tcBorders>
              <w:top w:val="nil"/>
              <w:lef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-47.2</w:t>
            </w:r>
          </w:p>
        </w:tc>
      </w:tr>
    </w:tbl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全年全县规模以上工业企业实现营业收入233298.3万元，比上年增长4.7%。分门类看，采矿业140946.4万元，下降3.3%；制造业77857.5万元，增长27.2%；电力、热力、燃气及水生产和供应14494.4万元，下降9.1%。规模以上工业企业实现利润总额3218.5万元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全年规模以上工业企业营业利润1948.7万元，比上年增长2048.5%。分门类看，采矿业利润611.9万元，比上年下降194.7%；制造业413.6万元，下降0.1%；电力、热力、燃气及水生产和供应业923.2万元，增长186%。全年规模以上工业企业每百元营业收入中的成本为 93.79元，比上年增长2.17元；营业收入利润率为1.38%，提高0.44个百分点。年末规模以上工业企业资产负债率为80.9%，比上年末提高2.7个百分点。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规模以上工业企业每百元营业收入中的成本为93.79元，营业收入利润率为1.38%；年末资产负债率为80.9%，比上年末提高2.7个百分点。</w:t>
      </w:r>
    </w:p>
    <w:p>
      <w:pPr>
        <w:pStyle w:val="2"/>
        <w:rPr>
          <w:rFonts w:hint="eastAsia" w:eastAsia="仿宋_GB2312"/>
          <w:highlight w:val="none"/>
          <w:lang w:eastAsia="zh-CN"/>
        </w:rPr>
      </w:pPr>
      <w:r>
        <w:rPr>
          <w:rFonts w:hint="eastAsia"/>
          <w:highlight w:val="none"/>
        </w:rPr>
        <w:t>全县全年有资质建筑业企业3家，2023年全年签订合同额13365万元，同比增长8.8%。建筑业总产值完成7223万元，同比增长12.1%</w:t>
      </w:r>
      <w:r>
        <w:rPr>
          <w:rFonts w:hint="eastAsia"/>
          <w:highlight w:val="none"/>
          <w:lang w:eastAsia="zh-CN"/>
        </w:rPr>
        <w:t>。</w:t>
      </w:r>
    </w:p>
    <w:p>
      <w:pPr>
        <w:pStyle w:val="5"/>
        <w:bidi w:val="0"/>
        <w:rPr>
          <w:highlight w:val="none"/>
        </w:rPr>
      </w:pPr>
      <w:r>
        <w:rPr>
          <w:rFonts w:hint="eastAsia"/>
          <w:highlight w:val="none"/>
        </w:rPr>
        <w:t>能源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全年全县全社会用电总量23464.94万千瓦时。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</w:rPr>
        <w:t>全行业用电16481.49万千瓦时，第一产业用电1512.17万千瓦时，占全行业用电量的9.17%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</w:rPr>
        <w:t>第二产业用电11232.61万千瓦时，占全行业用电量的68.15%，第二产业中，工业用电10629.21万千瓦时；第三产业用电3736.72万千瓦时，占全行业用电量的22.67%</w:t>
      </w:r>
      <w:r>
        <w:rPr>
          <w:rFonts w:hint="eastAsia"/>
          <w:highlight w:val="none"/>
          <w:lang w:eastAsia="zh-CN"/>
        </w:rPr>
        <w:t>。</w:t>
      </w:r>
    </w:p>
    <w:p>
      <w:pPr>
        <w:rPr>
          <w:rFonts w:hint="eastAsia" w:eastAsia="仿宋_GB2312"/>
          <w:highlight w:val="none"/>
          <w:lang w:eastAsia="zh-CN"/>
        </w:rPr>
      </w:pPr>
      <w:r>
        <w:rPr>
          <w:rFonts w:hint="eastAsia"/>
          <w:highlight w:val="none"/>
        </w:rPr>
        <w:t>城乡居民生活用电6983.45万千瓦时，占全部用电量的29.76%</w:t>
      </w:r>
      <w:r>
        <w:rPr>
          <w:rFonts w:hint="eastAsia"/>
          <w:highlight w:val="none"/>
          <w:lang w:eastAsia="zh-CN"/>
        </w:rPr>
        <w:t>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全年全县规模以上发电量为16392.69万千瓦时，比上年降低1.2%。</w:t>
      </w:r>
    </w:p>
    <w:p>
      <w:pPr>
        <w:pStyle w:val="5"/>
        <w:bidi w:val="0"/>
        <w:rPr>
          <w:highlight w:val="none"/>
        </w:rPr>
      </w:pPr>
      <w:bookmarkStart w:id="12" w:name="_Toc22745"/>
      <w:bookmarkStart w:id="13" w:name="_Toc30807"/>
      <w:bookmarkStart w:id="14" w:name="_Toc30169"/>
      <w:r>
        <w:rPr>
          <w:rFonts w:hint="eastAsia"/>
          <w:highlight w:val="none"/>
        </w:rPr>
        <w:t>服务业</w:t>
      </w:r>
      <w:bookmarkEnd w:id="12"/>
      <w:bookmarkEnd w:id="13"/>
      <w:bookmarkEnd w:id="14"/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</w:rPr>
        <w:t>全年全县服务业增加值173236万元，按不变价格计算，比上年增长</w:t>
      </w:r>
      <w:r>
        <w:rPr>
          <w:rFonts w:hint="eastAsia"/>
          <w:highlight w:val="none"/>
          <w:lang w:val="en-US" w:eastAsia="zh-CN"/>
        </w:rPr>
        <w:t>5.4</w:t>
      </w:r>
      <w:r>
        <w:rPr>
          <w:rFonts w:hint="eastAsia"/>
          <w:highlight w:val="none"/>
        </w:rPr>
        <w:t>%。其中，批发和零售业增加值</w:t>
      </w:r>
      <w:r>
        <w:rPr>
          <w:rFonts w:hint="eastAsia"/>
          <w:highlight w:val="none"/>
          <w:lang w:val="en-US" w:eastAsia="zh-CN"/>
        </w:rPr>
        <w:t>3025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10.4</w:t>
      </w:r>
      <w:r>
        <w:rPr>
          <w:rFonts w:hint="eastAsia"/>
          <w:highlight w:val="none"/>
        </w:rPr>
        <w:t>%；交通运输、仓储和邮政业增加值</w:t>
      </w:r>
      <w:r>
        <w:rPr>
          <w:rFonts w:hint="eastAsia"/>
          <w:highlight w:val="none"/>
          <w:lang w:val="en-US" w:eastAsia="zh-CN"/>
        </w:rPr>
        <w:t>9338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19.7</w:t>
      </w:r>
      <w:r>
        <w:rPr>
          <w:rFonts w:hint="eastAsia"/>
          <w:highlight w:val="none"/>
        </w:rPr>
        <w:t>%；住宿和餐饮业增加值</w:t>
      </w:r>
      <w:r>
        <w:rPr>
          <w:rFonts w:hint="eastAsia"/>
          <w:highlight w:val="none"/>
          <w:lang w:val="en-US" w:eastAsia="zh-CN"/>
        </w:rPr>
        <w:t>3329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val="en-US" w:eastAsia="zh-CN"/>
        </w:rPr>
        <w:t>增长11.7</w:t>
      </w:r>
      <w:r>
        <w:rPr>
          <w:rFonts w:hint="eastAsia"/>
          <w:highlight w:val="none"/>
        </w:rPr>
        <w:t>%；金融业增加值24598万元，增长</w:t>
      </w:r>
      <w:r>
        <w:rPr>
          <w:rFonts w:hint="eastAsia"/>
          <w:highlight w:val="none"/>
          <w:lang w:val="en-US" w:eastAsia="zh-CN"/>
        </w:rPr>
        <w:t>7.5</w:t>
      </w:r>
      <w:r>
        <w:rPr>
          <w:rFonts w:hint="eastAsia"/>
          <w:highlight w:val="none"/>
        </w:rPr>
        <w:t>%；房地产业增加值47066万元，增长</w:t>
      </w:r>
      <w:r>
        <w:rPr>
          <w:rFonts w:hint="eastAsia"/>
          <w:highlight w:val="none"/>
          <w:lang w:val="en-US" w:eastAsia="zh-CN"/>
        </w:rPr>
        <w:t>2.5</w:t>
      </w:r>
      <w:r>
        <w:rPr>
          <w:rFonts w:hint="eastAsia"/>
          <w:highlight w:val="none"/>
        </w:rPr>
        <w:t>%；</w:t>
      </w:r>
      <w:r>
        <w:rPr>
          <w:rFonts w:hint="eastAsia"/>
          <w:highlight w:val="none"/>
          <w:lang w:eastAsia="zh-CN"/>
        </w:rPr>
        <w:t>其他</w:t>
      </w:r>
      <w:r>
        <w:rPr>
          <w:rFonts w:hint="eastAsia"/>
          <w:highlight w:val="none"/>
        </w:rPr>
        <w:t>服务业增加值83968万元，增长</w:t>
      </w:r>
      <w:r>
        <w:rPr>
          <w:rFonts w:hint="eastAsia"/>
          <w:highlight w:val="none"/>
          <w:lang w:val="en-US" w:eastAsia="zh-CN"/>
        </w:rPr>
        <w:t>5.0</w:t>
      </w:r>
      <w:r>
        <w:rPr>
          <w:rFonts w:hint="eastAsia"/>
          <w:highlight w:val="none"/>
        </w:rPr>
        <w:t>%</w:t>
      </w:r>
      <w:r>
        <w:rPr>
          <w:rFonts w:hint="eastAsia"/>
          <w:highlight w:val="none"/>
          <w:lang w:eastAsia="zh-CN"/>
        </w:rPr>
        <w:t>。</w:t>
      </w:r>
    </w:p>
    <w:p>
      <w:pPr>
        <w:pStyle w:val="6"/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2019—2023年</w:t>
      </w:r>
      <w:r>
        <w:rPr>
          <w:rFonts w:hint="eastAsia"/>
          <w:highlight w:val="none"/>
        </w:rPr>
        <w:t>全县服务业增加值</w:t>
      </w:r>
      <w:r>
        <w:rPr>
          <w:rFonts w:hint="eastAsia"/>
          <w:highlight w:val="none"/>
          <w:lang w:val="en-US" w:eastAsia="zh-CN"/>
        </w:rPr>
        <w:t>及其增长速度</w:t>
      </w:r>
    </w:p>
    <w:p>
      <w:pPr>
        <w:pStyle w:val="30"/>
        <w:bidi w:val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615305" cy="3356610"/>
            <wp:effectExtent l="0" t="0" r="4445" b="15240"/>
            <wp:docPr id="1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bidi w:val="0"/>
        <w:rPr>
          <w:rFonts w:hint="eastAsia"/>
          <w:highlight w:val="none"/>
        </w:rPr>
      </w:pP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年末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公路通车里程</w:t>
      </w:r>
      <w:r>
        <w:rPr>
          <w:rFonts w:hint="eastAsia"/>
          <w:highlight w:val="none"/>
          <w:lang w:val="en-US" w:eastAsia="zh-CN"/>
        </w:rPr>
        <w:t>697.2</w:t>
      </w:r>
      <w:r>
        <w:rPr>
          <w:rFonts w:hint="eastAsia"/>
          <w:highlight w:val="none"/>
        </w:rPr>
        <w:t>公里</w:t>
      </w:r>
      <w:r>
        <w:rPr>
          <w:rFonts w:hint="eastAsia"/>
          <w:highlight w:val="none"/>
          <w:lang w:eastAsia="zh-CN"/>
        </w:rPr>
        <w:t>。</w:t>
      </w:r>
      <w:r>
        <w:rPr>
          <w:rFonts w:hint="eastAsia"/>
          <w:highlight w:val="none"/>
          <w:lang w:val="en-US" w:eastAsia="zh-CN"/>
        </w:rPr>
        <w:t>按等级划分</w:t>
      </w:r>
      <w:r>
        <w:rPr>
          <w:rFonts w:hint="eastAsia"/>
          <w:highlight w:val="none"/>
        </w:rPr>
        <w:t>，高速公路</w:t>
      </w:r>
      <w:r>
        <w:rPr>
          <w:rFonts w:hint="eastAsia"/>
          <w:highlight w:val="none"/>
          <w:lang w:val="en-US" w:eastAsia="zh-CN"/>
        </w:rPr>
        <w:t>140.0</w:t>
      </w:r>
      <w:r>
        <w:rPr>
          <w:rFonts w:hint="eastAsia"/>
          <w:highlight w:val="none"/>
        </w:rPr>
        <w:t>公里</w:t>
      </w:r>
      <w:r>
        <w:rPr>
          <w:rFonts w:hint="eastAsia"/>
          <w:highlight w:val="none"/>
          <w:lang w:val="en-US" w:eastAsia="zh-CN"/>
        </w:rPr>
        <w:t>；一级</w:t>
      </w:r>
      <w:r>
        <w:rPr>
          <w:rFonts w:hint="eastAsia"/>
          <w:highlight w:val="none"/>
        </w:rPr>
        <w:t>公路</w:t>
      </w:r>
      <w:r>
        <w:rPr>
          <w:rFonts w:hint="eastAsia"/>
          <w:highlight w:val="none"/>
          <w:lang w:val="en-US" w:eastAsia="zh-CN"/>
        </w:rPr>
        <w:t>4.6</w:t>
      </w:r>
      <w:r>
        <w:rPr>
          <w:rFonts w:hint="eastAsia"/>
          <w:highlight w:val="none"/>
        </w:rPr>
        <w:t>公里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  <w:lang w:val="en-US" w:eastAsia="zh-CN"/>
        </w:rPr>
        <w:t>二级</w:t>
      </w:r>
      <w:r>
        <w:rPr>
          <w:rFonts w:hint="eastAsia"/>
          <w:highlight w:val="none"/>
        </w:rPr>
        <w:t>公路</w:t>
      </w:r>
      <w:r>
        <w:rPr>
          <w:rFonts w:hint="eastAsia"/>
          <w:highlight w:val="none"/>
          <w:lang w:val="en-US" w:eastAsia="zh-CN"/>
        </w:rPr>
        <w:t>23.1</w:t>
      </w:r>
      <w:r>
        <w:rPr>
          <w:rFonts w:hint="eastAsia"/>
          <w:highlight w:val="none"/>
        </w:rPr>
        <w:t>公里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  <w:lang w:val="en-US" w:eastAsia="zh-CN"/>
        </w:rPr>
        <w:t>三级</w:t>
      </w:r>
      <w:r>
        <w:rPr>
          <w:rFonts w:hint="eastAsia"/>
          <w:highlight w:val="none"/>
        </w:rPr>
        <w:t>公路</w:t>
      </w:r>
      <w:r>
        <w:rPr>
          <w:rFonts w:hint="eastAsia"/>
          <w:highlight w:val="none"/>
          <w:lang w:val="en-US" w:eastAsia="zh-CN"/>
        </w:rPr>
        <w:t>121.5</w:t>
      </w:r>
      <w:r>
        <w:rPr>
          <w:rFonts w:hint="eastAsia"/>
          <w:highlight w:val="none"/>
        </w:rPr>
        <w:t>公里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  <w:lang w:val="en-US" w:eastAsia="zh-CN"/>
        </w:rPr>
        <w:t>四级</w:t>
      </w:r>
      <w:r>
        <w:rPr>
          <w:rFonts w:hint="eastAsia"/>
          <w:highlight w:val="none"/>
        </w:rPr>
        <w:t>公路</w:t>
      </w:r>
      <w:r>
        <w:rPr>
          <w:rFonts w:hint="eastAsia"/>
          <w:highlight w:val="none"/>
          <w:lang w:val="en-US" w:eastAsia="zh-CN"/>
        </w:rPr>
        <w:t>484.4</w:t>
      </w:r>
      <w:r>
        <w:rPr>
          <w:rFonts w:hint="eastAsia"/>
          <w:highlight w:val="none"/>
        </w:rPr>
        <w:t>公里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  <w:lang w:val="en-US" w:eastAsia="zh-CN"/>
        </w:rPr>
        <w:t>等外</w:t>
      </w:r>
      <w:r>
        <w:rPr>
          <w:rFonts w:hint="eastAsia"/>
          <w:highlight w:val="none"/>
        </w:rPr>
        <w:t>公路</w:t>
      </w:r>
      <w:r>
        <w:rPr>
          <w:rFonts w:hint="eastAsia"/>
          <w:highlight w:val="none"/>
          <w:lang w:val="en-US" w:eastAsia="zh-CN"/>
        </w:rPr>
        <w:t>23.7</w:t>
      </w:r>
      <w:r>
        <w:rPr>
          <w:rFonts w:hint="eastAsia"/>
          <w:highlight w:val="none"/>
        </w:rPr>
        <w:t>公里。</w:t>
      </w:r>
    </w:p>
    <w:p>
      <w:pPr>
        <w:pStyle w:val="2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</w:rPr>
        <w:t>年末实有公共汽（电）车营运车辆</w:t>
      </w:r>
      <w:r>
        <w:rPr>
          <w:rFonts w:hint="eastAsia"/>
          <w:highlight w:val="none"/>
          <w:lang w:val="en-US" w:eastAsia="zh-CN"/>
        </w:rPr>
        <w:t>80</w:t>
      </w:r>
      <w:r>
        <w:rPr>
          <w:rFonts w:hint="eastAsia"/>
          <w:highlight w:val="none"/>
        </w:rPr>
        <w:t>辆</w:t>
      </w:r>
      <w:r>
        <w:rPr>
          <w:rFonts w:hint="eastAsia"/>
          <w:highlight w:val="none"/>
          <w:lang w:eastAsia="zh-CN"/>
        </w:rPr>
        <w:t>，年末公交企业从业人数</w:t>
      </w:r>
      <w:r>
        <w:rPr>
          <w:rFonts w:hint="eastAsia"/>
          <w:highlight w:val="none"/>
          <w:lang w:val="en-US" w:eastAsia="zh-CN"/>
        </w:rPr>
        <w:t>20</w:t>
      </w:r>
      <w:r>
        <w:rPr>
          <w:rFonts w:hint="eastAsia"/>
          <w:highlight w:val="none"/>
          <w:lang w:eastAsia="zh-CN"/>
        </w:rPr>
        <w:t>人，年末县域公交汽车营运线路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  <w:lang w:eastAsia="zh-CN"/>
        </w:rPr>
        <w:t>条，年末实有出租车数量</w:t>
      </w:r>
      <w:r>
        <w:rPr>
          <w:rFonts w:hint="eastAsia"/>
          <w:highlight w:val="none"/>
          <w:lang w:val="en-US" w:eastAsia="zh-CN"/>
        </w:rPr>
        <w:t>47</w:t>
      </w:r>
      <w:r>
        <w:rPr>
          <w:rFonts w:hint="eastAsia"/>
          <w:highlight w:val="none"/>
          <w:lang w:eastAsia="zh-CN"/>
        </w:rPr>
        <w:t>辆。</w:t>
      </w:r>
    </w:p>
    <w:p>
      <w:pPr>
        <w:pStyle w:val="5"/>
        <w:bidi w:val="0"/>
        <w:rPr>
          <w:highlight w:val="none"/>
        </w:rPr>
      </w:pPr>
      <w:bookmarkStart w:id="15" w:name="_Toc8047"/>
      <w:bookmarkStart w:id="16" w:name="_Toc16947"/>
      <w:bookmarkStart w:id="17" w:name="_Toc14546"/>
      <w:r>
        <w:rPr>
          <w:rFonts w:hint="eastAsia"/>
          <w:highlight w:val="none"/>
        </w:rPr>
        <w:t>国内贸易</w:t>
      </w:r>
      <w:bookmarkEnd w:id="15"/>
      <w:bookmarkEnd w:id="16"/>
      <w:bookmarkEnd w:id="17"/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全年全县社会消费品零售总额203212.9万元，</w:t>
      </w:r>
      <w:r>
        <w:rPr>
          <w:rFonts w:hint="eastAsia"/>
          <w:highlight w:val="none"/>
          <w:lang w:val="en-US" w:eastAsia="zh-CN"/>
        </w:rPr>
        <w:t>比上年</w:t>
      </w:r>
      <w:r>
        <w:rPr>
          <w:rFonts w:hint="eastAsia"/>
          <w:highlight w:val="none"/>
        </w:rPr>
        <w:t>增长</w:t>
      </w:r>
      <w:r>
        <w:rPr>
          <w:rFonts w:hint="eastAsia"/>
          <w:highlight w:val="none"/>
          <w:lang w:val="en-US" w:eastAsia="zh-CN"/>
        </w:rPr>
        <w:t>11.6</w:t>
      </w:r>
      <w:r>
        <w:rPr>
          <w:rFonts w:hint="eastAsia"/>
          <w:highlight w:val="none"/>
        </w:rPr>
        <w:t>%。按经营地统计，城镇消费品零售额170666.7万元，增长</w:t>
      </w:r>
      <w:r>
        <w:rPr>
          <w:rFonts w:hint="eastAsia"/>
          <w:highlight w:val="none"/>
          <w:lang w:val="en-US" w:eastAsia="zh-CN"/>
        </w:rPr>
        <w:t>11.6</w:t>
      </w:r>
      <w:r>
        <w:rPr>
          <w:rFonts w:hint="eastAsia"/>
          <w:highlight w:val="none"/>
        </w:rPr>
        <w:t>%；乡村消费品零售额32546.2万元，增长</w:t>
      </w:r>
      <w:r>
        <w:rPr>
          <w:rFonts w:hint="eastAsia"/>
          <w:highlight w:val="none"/>
          <w:lang w:val="en-US" w:eastAsia="zh-CN"/>
        </w:rPr>
        <w:t>11.7</w:t>
      </w:r>
      <w:r>
        <w:rPr>
          <w:rFonts w:hint="eastAsia"/>
          <w:highlight w:val="none"/>
        </w:rPr>
        <w:t>%。按消费形态统计，商品零售额178718.2万元，增长</w:t>
      </w:r>
      <w:r>
        <w:rPr>
          <w:rFonts w:hint="eastAsia"/>
          <w:highlight w:val="none"/>
          <w:lang w:val="en-US" w:eastAsia="zh-CN"/>
        </w:rPr>
        <w:t>11.5</w:t>
      </w:r>
      <w:r>
        <w:rPr>
          <w:rFonts w:hint="eastAsia"/>
          <w:highlight w:val="none"/>
        </w:rPr>
        <w:t>%；餐饮收入额24494.7万元，增长</w:t>
      </w:r>
      <w:r>
        <w:rPr>
          <w:rFonts w:hint="eastAsia"/>
          <w:highlight w:val="none"/>
          <w:lang w:val="en-US" w:eastAsia="zh-CN"/>
        </w:rPr>
        <w:t>12.1</w:t>
      </w:r>
      <w:r>
        <w:rPr>
          <w:rFonts w:hint="eastAsia"/>
          <w:highlight w:val="none"/>
        </w:rPr>
        <w:t>%。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全年全县限额以上单位消费品零售额13103.9万元，增长</w:t>
      </w:r>
      <w:r>
        <w:rPr>
          <w:rFonts w:hint="eastAsia"/>
          <w:highlight w:val="none"/>
          <w:lang w:val="en-US" w:eastAsia="zh-CN"/>
        </w:rPr>
        <w:t>25.3</w:t>
      </w:r>
      <w:r>
        <w:rPr>
          <w:rFonts w:hint="eastAsia"/>
          <w:highlight w:val="none"/>
        </w:rPr>
        <w:t>%。</w:t>
      </w:r>
    </w:p>
    <w:p>
      <w:pPr>
        <w:pStyle w:val="2"/>
        <w:rPr>
          <w:rFonts w:hint="eastAsia"/>
          <w:highlight w:val="none"/>
        </w:rPr>
      </w:pPr>
    </w:p>
    <w:p>
      <w:pPr>
        <w:pStyle w:val="6"/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2019—2023年</w:t>
      </w:r>
      <w:r>
        <w:rPr>
          <w:rFonts w:hint="eastAsia"/>
          <w:highlight w:val="none"/>
        </w:rPr>
        <w:t>全县社会消费品零售总额及其增长速度</w:t>
      </w:r>
    </w:p>
    <w:p>
      <w:pPr>
        <w:pStyle w:val="30"/>
        <w:bidi w:val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777865" cy="3674110"/>
            <wp:effectExtent l="0" t="0" r="13335" b="254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br w:type="page"/>
      </w:r>
    </w:p>
    <w:p>
      <w:pPr>
        <w:pStyle w:val="7"/>
        <w:bidi w:val="0"/>
        <w:rPr>
          <w:highlight w:val="none"/>
        </w:rPr>
      </w:pP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年全县限额以上单位商品零售额及其增长速度</w:t>
      </w:r>
    </w:p>
    <w:tbl>
      <w:tblPr>
        <w:tblStyle w:val="25"/>
        <w:tblW w:w="85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7"/>
        <w:gridCol w:w="2874"/>
        <w:gridCol w:w="256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306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指标</w:t>
            </w:r>
          </w:p>
        </w:tc>
        <w:tc>
          <w:tcPr>
            <w:tcW w:w="28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绝对数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万元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2563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比上年增长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%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总计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11539.5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16.1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粮油、食品类</w:t>
            </w:r>
          </w:p>
        </w:tc>
        <w:tc>
          <w:tcPr>
            <w:tcW w:w="2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2221.4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其中：粮油类</w:t>
            </w:r>
          </w:p>
        </w:tc>
        <w:tc>
          <w:tcPr>
            <w:tcW w:w="2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628.2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-11.4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　　　肉禽蛋类</w:t>
            </w:r>
          </w:p>
        </w:tc>
        <w:tc>
          <w:tcPr>
            <w:tcW w:w="2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547.7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-6.7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　　　水产品类</w:t>
            </w:r>
          </w:p>
        </w:tc>
        <w:tc>
          <w:tcPr>
            <w:tcW w:w="2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121.1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-11.2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　　　蔬菜类</w:t>
            </w:r>
          </w:p>
        </w:tc>
        <w:tc>
          <w:tcPr>
            <w:tcW w:w="2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290.7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　　　干鲜果品类</w:t>
            </w:r>
          </w:p>
        </w:tc>
        <w:tc>
          <w:tcPr>
            <w:tcW w:w="2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281.1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饮料类</w:t>
            </w:r>
          </w:p>
        </w:tc>
        <w:tc>
          <w:tcPr>
            <w:tcW w:w="2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438.1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78.7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烟酒类</w:t>
            </w:r>
          </w:p>
        </w:tc>
        <w:tc>
          <w:tcPr>
            <w:tcW w:w="2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2060.9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化妆品类</w:t>
            </w:r>
          </w:p>
        </w:tc>
        <w:tc>
          <w:tcPr>
            <w:tcW w:w="2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181.1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44.6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金银珠宝类</w:t>
            </w:r>
          </w:p>
        </w:tc>
        <w:tc>
          <w:tcPr>
            <w:tcW w:w="2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875.5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-1.7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日用品类</w:t>
            </w:r>
          </w:p>
        </w:tc>
        <w:tc>
          <w:tcPr>
            <w:tcW w:w="2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331.6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98.0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五金、电料类</w:t>
            </w:r>
          </w:p>
        </w:tc>
        <w:tc>
          <w:tcPr>
            <w:tcW w:w="2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93.4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体育、娱乐用品类</w:t>
            </w:r>
          </w:p>
        </w:tc>
        <w:tc>
          <w:tcPr>
            <w:tcW w:w="2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98.7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家用电器和音像器材类</w:t>
            </w:r>
          </w:p>
        </w:tc>
        <w:tc>
          <w:tcPr>
            <w:tcW w:w="2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106.5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17.2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中西药品类</w:t>
            </w:r>
          </w:p>
        </w:tc>
        <w:tc>
          <w:tcPr>
            <w:tcW w:w="2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1029.8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其中：西药类</w:t>
            </w:r>
          </w:p>
        </w:tc>
        <w:tc>
          <w:tcPr>
            <w:tcW w:w="2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811.3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　　　中草药及中成药类</w:t>
            </w:r>
          </w:p>
        </w:tc>
        <w:tc>
          <w:tcPr>
            <w:tcW w:w="2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208.5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文化办公用品类</w:t>
            </w:r>
          </w:p>
        </w:tc>
        <w:tc>
          <w:tcPr>
            <w:tcW w:w="2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2.7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**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石油及制品类</w:t>
            </w:r>
          </w:p>
        </w:tc>
        <w:tc>
          <w:tcPr>
            <w:tcW w:w="2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993.3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汽车类</w:t>
            </w:r>
          </w:p>
        </w:tc>
        <w:tc>
          <w:tcPr>
            <w:tcW w:w="2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984.2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-4.9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其中：新车</w:t>
            </w:r>
          </w:p>
        </w:tc>
        <w:tc>
          <w:tcPr>
            <w:tcW w:w="2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984.2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-4.9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67" w:type="dxa"/>
            <w:tcBorders>
              <w:top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其他未列明商品类</w:t>
            </w:r>
          </w:p>
        </w:tc>
        <w:tc>
          <w:tcPr>
            <w:tcW w:w="2874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2122.3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77.8</w:t>
            </w:r>
          </w:p>
        </w:tc>
      </w:tr>
    </w:tbl>
    <w:p>
      <w:pPr>
        <w:bidi w:val="0"/>
        <w:rPr>
          <w:rFonts w:hint="eastAsia"/>
          <w:highlight w:val="none"/>
        </w:rPr>
      </w:pP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截</w:t>
      </w:r>
      <w:r>
        <w:rPr>
          <w:rFonts w:hint="eastAsia"/>
          <w:highlight w:val="none"/>
          <w:lang w:val="en-US" w:eastAsia="zh-CN"/>
        </w:rPr>
        <w:t>至</w:t>
      </w: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年底，全县实有市场主体</w:t>
      </w:r>
      <w:r>
        <w:rPr>
          <w:rFonts w:hint="eastAsia"/>
          <w:highlight w:val="none"/>
          <w:lang w:val="en-US" w:eastAsia="zh-CN"/>
        </w:rPr>
        <w:t>12251</w:t>
      </w:r>
      <w:r>
        <w:rPr>
          <w:rFonts w:hint="eastAsia"/>
          <w:highlight w:val="none"/>
        </w:rPr>
        <w:t>户。其中：企业</w:t>
      </w:r>
      <w:r>
        <w:rPr>
          <w:rFonts w:hint="eastAsia"/>
          <w:highlight w:val="none"/>
          <w:lang w:val="en-US" w:eastAsia="zh-CN"/>
        </w:rPr>
        <w:t>2861</w:t>
      </w:r>
      <w:r>
        <w:rPr>
          <w:rFonts w:hint="eastAsia"/>
          <w:highlight w:val="none"/>
        </w:rPr>
        <w:t>户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本年新增986户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、农民专业合作社</w:t>
      </w:r>
      <w:r>
        <w:rPr>
          <w:rFonts w:hint="eastAsia"/>
          <w:highlight w:val="none"/>
          <w:lang w:val="en-US" w:eastAsia="zh-CN"/>
        </w:rPr>
        <w:t>809</w:t>
      </w:r>
      <w:r>
        <w:rPr>
          <w:rFonts w:hint="eastAsia"/>
          <w:highlight w:val="none"/>
        </w:rPr>
        <w:t>户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本年新增10户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、个体工商户</w:t>
      </w:r>
      <w:r>
        <w:rPr>
          <w:rFonts w:hint="eastAsia"/>
          <w:highlight w:val="none"/>
          <w:lang w:val="en-US" w:eastAsia="zh-CN"/>
        </w:rPr>
        <w:t>8581</w:t>
      </w:r>
      <w:r>
        <w:rPr>
          <w:rFonts w:hint="eastAsia"/>
          <w:highlight w:val="none"/>
        </w:rPr>
        <w:t>户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本年新增1768户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。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截</w:t>
      </w:r>
      <w:r>
        <w:rPr>
          <w:rFonts w:hint="eastAsia"/>
          <w:highlight w:val="none"/>
          <w:lang w:val="en-US" w:eastAsia="zh-CN"/>
        </w:rPr>
        <w:t>至</w:t>
      </w:r>
      <w:r>
        <w:rPr>
          <w:rFonts w:hint="eastAsia"/>
          <w:highlight w:val="none"/>
        </w:rPr>
        <w:t>2024年5月16日，全县实有经营主体11122户，其中，个体工商户7830户，企业2503户，农民合作社789户。按行业划分，农业产业市场主体</w:t>
      </w:r>
      <w:r>
        <w:rPr>
          <w:rFonts w:hint="eastAsia"/>
          <w:highlight w:val="none"/>
          <w:lang w:val="en-US" w:eastAsia="zh-CN"/>
        </w:rPr>
        <w:t>4524</w:t>
      </w:r>
      <w:r>
        <w:rPr>
          <w:rFonts w:hint="eastAsia"/>
          <w:highlight w:val="none"/>
        </w:rPr>
        <w:t>户，其中企业</w:t>
      </w:r>
      <w:r>
        <w:rPr>
          <w:rFonts w:hint="eastAsia"/>
          <w:highlight w:val="none"/>
          <w:lang w:val="en-US" w:eastAsia="zh-CN"/>
        </w:rPr>
        <w:t>978</w:t>
      </w:r>
      <w:r>
        <w:rPr>
          <w:rFonts w:hint="eastAsia"/>
          <w:highlight w:val="none"/>
        </w:rPr>
        <w:t>户、个体工商户</w:t>
      </w:r>
      <w:r>
        <w:rPr>
          <w:rFonts w:hint="eastAsia"/>
          <w:highlight w:val="none"/>
          <w:lang w:val="en-US" w:eastAsia="zh-CN"/>
        </w:rPr>
        <w:t>2785</w:t>
      </w:r>
      <w:r>
        <w:rPr>
          <w:rFonts w:hint="eastAsia"/>
          <w:highlight w:val="none"/>
        </w:rPr>
        <w:t>户、农民专业合作社</w:t>
      </w:r>
      <w:r>
        <w:rPr>
          <w:rFonts w:hint="eastAsia"/>
          <w:highlight w:val="none"/>
          <w:lang w:val="en-US" w:eastAsia="zh-CN"/>
        </w:rPr>
        <w:t>761</w:t>
      </w:r>
      <w:r>
        <w:rPr>
          <w:rFonts w:hint="eastAsia"/>
          <w:highlight w:val="none"/>
        </w:rPr>
        <w:t>户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</w:rPr>
        <w:t>工业产业市场主体</w:t>
      </w:r>
      <w:r>
        <w:rPr>
          <w:rFonts w:hint="eastAsia"/>
          <w:highlight w:val="none"/>
          <w:lang w:val="en-US" w:eastAsia="zh-CN"/>
        </w:rPr>
        <w:t>682</w:t>
      </w:r>
      <w:r>
        <w:rPr>
          <w:rFonts w:hint="eastAsia"/>
          <w:highlight w:val="none"/>
        </w:rPr>
        <w:t>户，其中企业</w:t>
      </w:r>
      <w:r>
        <w:rPr>
          <w:rFonts w:hint="eastAsia"/>
          <w:highlight w:val="none"/>
          <w:lang w:val="en-US" w:eastAsia="zh-CN"/>
        </w:rPr>
        <w:t>329</w:t>
      </w:r>
      <w:r>
        <w:rPr>
          <w:rFonts w:hint="eastAsia"/>
          <w:highlight w:val="none"/>
        </w:rPr>
        <w:t>户、个体工商户</w:t>
      </w:r>
      <w:r>
        <w:rPr>
          <w:rFonts w:hint="eastAsia"/>
          <w:highlight w:val="none"/>
          <w:lang w:val="en-US" w:eastAsia="zh-CN"/>
        </w:rPr>
        <w:t>353</w:t>
      </w:r>
      <w:r>
        <w:rPr>
          <w:rFonts w:hint="eastAsia"/>
          <w:highlight w:val="none"/>
        </w:rPr>
        <w:t>户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</w:rPr>
        <w:t>建筑产业市场主体</w:t>
      </w:r>
      <w:r>
        <w:rPr>
          <w:rFonts w:hint="eastAsia"/>
          <w:highlight w:val="none"/>
          <w:lang w:val="en-US" w:eastAsia="zh-CN"/>
        </w:rPr>
        <w:t>225</w:t>
      </w:r>
      <w:r>
        <w:rPr>
          <w:rFonts w:hint="eastAsia"/>
          <w:highlight w:val="none"/>
        </w:rPr>
        <w:t>户，其中企业</w:t>
      </w:r>
      <w:r>
        <w:rPr>
          <w:rFonts w:hint="eastAsia"/>
          <w:highlight w:val="none"/>
          <w:lang w:val="en-US" w:eastAsia="zh-CN"/>
        </w:rPr>
        <w:t>194</w:t>
      </w:r>
      <w:r>
        <w:rPr>
          <w:rFonts w:hint="eastAsia"/>
          <w:highlight w:val="none"/>
        </w:rPr>
        <w:t>户、个体工商户</w:t>
      </w:r>
      <w:r>
        <w:rPr>
          <w:rFonts w:hint="eastAsia"/>
          <w:highlight w:val="none"/>
          <w:lang w:val="en-US" w:eastAsia="zh-CN"/>
        </w:rPr>
        <w:t>31</w:t>
      </w:r>
      <w:r>
        <w:rPr>
          <w:rFonts w:hint="eastAsia"/>
          <w:highlight w:val="none"/>
        </w:rPr>
        <w:t>户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</w:rPr>
        <w:t>商贸产业市场主体</w:t>
      </w:r>
      <w:r>
        <w:rPr>
          <w:rFonts w:hint="eastAsia"/>
          <w:highlight w:val="none"/>
          <w:lang w:val="en-US" w:eastAsia="zh-CN"/>
        </w:rPr>
        <w:t>3913</w:t>
      </w:r>
      <w:r>
        <w:rPr>
          <w:rFonts w:hint="eastAsia"/>
          <w:highlight w:val="none"/>
        </w:rPr>
        <w:t>户，其中企业</w:t>
      </w:r>
      <w:r>
        <w:rPr>
          <w:rFonts w:hint="eastAsia"/>
          <w:highlight w:val="none"/>
          <w:lang w:val="en-US" w:eastAsia="zh-CN"/>
        </w:rPr>
        <w:t>472</w:t>
      </w:r>
      <w:r>
        <w:rPr>
          <w:rFonts w:hint="eastAsia"/>
          <w:highlight w:val="none"/>
        </w:rPr>
        <w:t>户、个体工商户</w:t>
      </w:r>
      <w:r>
        <w:rPr>
          <w:rFonts w:hint="eastAsia"/>
          <w:highlight w:val="none"/>
          <w:lang w:val="en-US" w:eastAsia="zh-CN"/>
        </w:rPr>
        <w:t>3441</w:t>
      </w:r>
      <w:r>
        <w:rPr>
          <w:rFonts w:hint="eastAsia"/>
          <w:highlight w:val="none"/>
        </w:rPr>
        <w:t>户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</w:rPr>
        <w:t>服务产业市场主体</w:t>
      </w:r>
      <w:r>
        <w:rPr>
          <w:rFonts w:hint="eastAsia"/>
          <w:highlight w:val="none"/>
          <w:lang w:val="en-US" w:eastAsia="zh-CN"/>
        </w:rPr>
        <w:t>1778</w:t>
      </w:r>
      <w:r>
        <w:rPr>
          <w:rFonts w:hint="eastAsia"/>
          <w:highlight w:val="none"/>
        </w:rPr>
        <w:t>户，其中企业</w:t>
      </w:r>
      <w:r>
        <w:rPr>
          <w:rFonts w:hint="eastAsia"/>
          <w:highlight w:val="none"/>
          <w:lang w:val="en-US" w:eastAsia="zh-CN"/>
        </w:rPr>
        <w:t>558</w:t>
      </w:r>
      <w:r>
        <w:rPr>
          <w:rFonts w:hint="eastAsia"/>
          <w:highlight w:val="none"/>
        </w:rPr>
        <w:t>户、个体工商户</w:t>
      </w:r>
      <w:r>
        <w:rPr>
          <w:rFonts w:hint="eastAsia"/>
          <w:highlight w:val="none"/>
          <w:lang w:val="en-US" w:eastAsia="zh-CN"/>
        </w:rPr>
        <w:t>1220</w:t>
      </w:r>
      <w:r>
        <w:rPr>
          <w:rFonts w:hint="eastAsia"/>
          <w:highlight w:val="none"/>
        </w:rPr>
        <w:t>户。</w:t>
      </w:r>
    </w:p>
    <w:p>
      <w:pPr>
        <w:pStyle w:val="2"/>
        <w:rPr>
          <w:rFonts w:hint="eastAsia"/>
          <w:highlight w:val="none"/>
        </w:rPr>
      </w:pPr>
    </w:p>
    <w:p>
      <w:pPr>
        <w:pStyle w:val="7"/>
        <w:bidi w:val="0"/>
        <w:rPr>
          <w:highlight w:val="none"/>
        </w:rPr>
      </w:pP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年全县社会消费品零售总额</w:t>
      </w:r>
      <w:r>
        <w:rPr>
          <w:rFonts w:hint="eastAsia"/>
          <w:highlight w:val="none"/>
          <w:lang w:val="en-US" w:eastAsia="zh-CN"/>
        </w:rPr>
        <w:t>及</w:t>
      </w:r>
      <w:r>
        <w:rPr>
          <w:rFonts w:hint="eastAsia"/>
          <w:highlight w:val="none"/>
        </w:rPr>
        <w:t>其增长速度</w:t>
      </w:r>
    </w:p>
    <w:tbl>
      <w:tblPr>
        <w:tblStyle w:val="25"/>
        <w:tblW w:w="85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2621"/>
        <w:gridCol w:w="256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指标</w:t>
            </w:r>
          </w:p>
        </w:tc>
        <w:tc>
          <w:tcPr>
            <w:tcW w:w="26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绝对数</w:t>
            </w: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万元</w:t>
            </w: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2563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比上年增长</w:t>
            </w: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%</w:t>
            </w: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20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社会消费品零售总额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1"/>
                <w:highlight w:val="none"/>
                <w:lang w:val="en-US" w:eastAsia="zh-CN"/>
              </w:rPr>
              <w:t>203212.9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1"/>
                <w:highlight w:val="none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20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按地域分</w:t>
            </w:r>
          </w:p>
        </w:tc>
        <w:tc>
          <w:tcPr>
            <w:tcW w:w="26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20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400"/>
              <w:jc w:val="both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城镇</w:t>
            </w:r>
          </w:p>
        </w:tc>
        <w:tc>
          <w:tcPr>
            <w:tcW w:w="26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1"/>
                <w:highlight w:val="none"/>
                <w:lang w:val="en-US" w:eastAsia="zh-CN"/>
              </w:rPr>
              <w:t>170666.7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1"/>
                <w:highlight w:val="none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20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400"/>
              <w:jc w:val="both"/>
              <w:textAlignment w:val="auto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乡村</w:t>
            </w:r>
          </w:p>
        </w:tc>
        <w:tc>
          <w:tcPr>
            <w:tcW w:w="26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1"/>
                <w:highlight w:val="none"/>
                <w:lang w:val="en-US" w:eastAsia="zh-CN"/>
              </w:rPr>
              <w:t>32546.2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1"/>
                <w:highlight w:val="none"/>
                <w:lang w:val="en-US" w:eastAsia="zh-CN"/>
              </w:rPr>
              <w:t>11.7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20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按消费形态分</w:t>
            </w:r>
          </w:p>
        </w:tc>
        <w:tc>
          <w:tcPr>
            <w:tcW w:w="26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20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餐饮收入</w:t>
            </w:r>
          </w:p>
        </w:tc>
        <w:tc>
          <w:tcPr>
            <w:tcW w:w="26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  <w:t>24494.7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  <w:t>12.1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20" w:type="dxa"/>
            <w:tcBorders>
              <w:top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400"/>
              <w:jc w:val="both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商品零售</w:t>
            </w:r>
          </w:p>
        </w:tc>
        <w:tc>
          <w:tcPr>
            <w:tcW w:w="2621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  <w:t>178718.2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  <w:t>11.5</w:t>
            </w:r>
          </w:p>
        </w:tc>
      </w:tr>
    </w:tbl>
    <w:p>
      <w:pPr>
        <w:pStyle w:val="2"/>
        <w:rPr>
          <w:highlight w:val="none"/>
        </w:rPr>
      </w:pPr>
    </w:p>
    <w:p>
      <w:pPr>
        <w:pStyle w:val="5"/>
        <w:bidi w:val="0"/>
        <w:rPr>
          <w:highlight w:val="none"/>
        </w:rPr>
      </w:pPr>
      <w:bookmarkStart w:id="18" w:name="_Toc26273"/>
      <w:bookmarkStart w:id="19" w:name="_Toc20283"/>
      <w:bookmarkStart w:id="20" w:name="_Toc15717"/>
      <w:r>
        <w:rPr>
          <w:rFonts w:hint="eastAsia"/>
          <w:highlight w:val="none"/>
        </w:rPr>
        <w:t>固定资产投资</w:t>
      </w:r>
      <w:bookmarkEnd w:id="18"/>
      <w:bookmarkEnd w:id="19"/>
      <w:bookmarkEnd w:id="20"/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全年全县在建固定资产投资项目（不含房地产开发项目）58个。其中2023年新入库项目27个，新入库项目本年完成投资102920万元，占全部投资的72.5%。全县全年固定资产投资141931万元，比上年增长48%。</w:t>
      </w:r>
    </w:p>
    <w:p>
      <w:pPr>
        <w:pStyle w:val="2"/>
        <w:rPr>
          <w:rFonts w:hint="eastAsia"/>
          <w:highlight w:val="none"/>
        </w:rPr>
      </w:pPr>
    </w:p>
    <w:p>
      <w:pPr>
        <w:pStyle w:val="6"/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2019—2023年</w:t>
      </w:r>
      <w:r>
        <w:rPr>
          <w:rFonts w:hint="eastAsia"/>
          <w:highlight w:val="none"/>
        </w:rPr>
        <w:t>全县固定资产投资</w:t>
      </w:r>
      <w:r>
        <w:rPr>
          <w:rFonts w:hint="eastAsia"/>
          <w:highlight w:val="none"/>
          <w:lang w:val="en-US" w:eastAsia="zh-CN"/>
        </w:rPr>
        <w:t>及其增长速度</w:t>
      </w:r>
    </w:p>
    <w:p>
      <w:pPr>
        <w:pStyle w:val="30"/>
        <w:bidi w:val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608955" cy="3214370"/>
            <wp:effectExtent l="0" t="0" r="10795" b="5080"/>
            <wp:docPr id="2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分构成看，建筑安装工程投资增长40.7%，设备工器具购置投资下降38.3%，其他投资增长1399.4%。 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分产业看，第一产业完成投资 14092万元，同比增长 21.7%；第二产业完成投资105343万元，同比增长57%；第三产业完成投资22496万元，同比增长30.7%。三次产业投资占比结构为10:74:16。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在固定资产投资中，国有及国有控股投资增长280.1%，民间投资增长86.8%。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全县产业类投资完成120876万元，同比增长53.2%，占全部投资比重为85.2%；民间投资完成90583万元，同比增长86.8%，占全部投资比重为63.8%。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全县全年在库房地产企业2</w:t>
      </w:r>
      <w:r>
        <w:rPr>
          <w:rFonts w:hint="eastAsia"/>
          <w:highlight w:val="none"/>
          <w:lang w:eastAsia="zh-CN"/>
        </w:rPr>
        <w:t>家</w:t>
      </w:r>
      <w:r>
        <w:rPr>
          <w:rFonts w:hint="eastAsia"/>
          <w:highlight w:val="none"/>
        </w:rPr>
        <w:t>，在库房地产项目2家，房地产开发投资完成3690万元，同比增长51.5%，房地产销售面积完成11611平方米，实现了汾西县房地产销售面积数据零的突破。</w:t>
      </w:r>
    </w:p>
    <w:p>
      <w:pPr>
        <w:pStyle w:val="2"/>
        <w:rPr>
          <w:rFonts w:hint="eastAsia"/>
          <w:highlight w:val="none"/>
        </w:rPr>
      </w:pPr>
    </w:p>
    <w:p>
      <w:pPr>
        <w:pStyle w:val="6"/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2019—2023年</w:t>
      </w:r>
      <w:r>
        <w:rPr>
          <w:rFonts w:hint="eastAsia"/>
          <w:highlight w:val="none"/>
        </w:rPr>
        <w:t>全县三次产业投资占固定资产投资比重</w:t>
      </w:r>
    </w:p>
    <w:p>
      <w:pPr>
        <w:pStyle w:val="30"/>
        <w:bidi w:val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610225" cy="3783330"/>
            <wp:effectExtent l="4445" t="4445" r="5080" b="22225"/>
            <wp:docPr id="2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pStyle w:val="7"/>
        <w:bidi w:val="0"/>
        <w:rPr>
          <w:highlight w:val="none"/>
        </w:rPr>
      </w:pP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年全县分行业固定资产投资及其增长速度</w:t>
      </w:r>
    </w:p>
    <w:tbl>
      <w:tblPr>
        <w:tblStyle w:val="25"/>
        <w:tblW w:w="85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2"/>
        <w:gridCol w:w="1565"/>
        <w:gridCol w:w="217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8" w:hRule="exact"/>
          <w:tblHeader/>
          <w:jc w:val="center"/>
        </w:trPr>
        <w:tc>
          <w:tcPr>
            <w:tcW w:w="477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行业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投资额</w:t>
            </w:r>
          </w:p>
          <w:p>
            <w:pPr>
              <w:pStyle w:val="30"/>
              <w:bidi w:val="0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万元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2181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比上年增长</w:t>
            </w:r>
          </w:p>
          <w:p>
            <w:pPr>
              <w:pStyle w:val="30"/>
              <w:bidi w:val="0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%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4773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30"/>
              <w:bidi w:val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总计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141931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477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30"/>
              <w:bidi w:val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农林牧渔业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14092</w:t>
            </w:r>
          </w:p>
        </w:tc>
        <w:tc>
          <w:tcPr>
            <w:tcW w:w="218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21.7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477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30"/>
              <w:bidi w:val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采矿业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58875</w:t>
            </w:r>
          </w:p>
        </w:tc>
        <w:tc>
          <w:tcPr>
            <w:tcW w:w="218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896.7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477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30"/>
              <w:bidi w:val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制造业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1721</w:t>
            </w:r>
          </w:p>
        </w:tc>
        <w:tc>
          <w:tcPr>
            <w:tcW w:w="218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528.1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477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30"/>
              <w:bidi w:val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电力、热力、燃气及水生产和供应业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44747</w:t>
            </w:r>
          </w:p>
        </w:tc>
        <w:tc>
          <w:tcPr>
            <w:tcW w:w="218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-26.5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477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30"/>
              <w:bidi w:val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交通运输、仓储和邮政业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1810</w:t>
            </w:r>
          </w:p>
        </w:tc>
        <w:tc>
          <w:tcPr>
            <w:tcW w:w="218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598.8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477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30"/>
              <w:bidi w:val="0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住宿和餐饮业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1155</w:t>
            </w:r>
          </w:p>
        </w:tc>
        <w:tc>
          <w:tcPr>
            <w:tcW w:w="218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477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房地产业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3690</w:t>
            </w:r>
          </w:p>
        </w:tc>
        <w:tc>
          <w:tcPr>
            <w:tcW w:w="218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51.5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477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30"/>
              <w:bidi w:val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租赁和商务服务业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206</w:t>
            </w:r>
          </w:p>
        </w:tc>
        <w:tc>
          <w:tcPr>
            <w:tcW w:w="218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-71.3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477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30"/>
              <w:bidi w:val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水利、环境和公共设施管理业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9416</w:t>
            </w:r>
          </w:p>
        </w:tc>
        <w:tc>
          <w:tcPr>
            <w:tcW w:w="218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-11.4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4773" w:type="dxa"/>
            <w:tcBorders>
              <w:top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30"/>
              <w:bidi w:val="0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居民服务和其他服务业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1169</w:t>
            </w:r>
          </w:p>
        </w:tc>
        <w:tc>
          <w:tcPr>
            <w:tcW w:w="2181" w:type="dxa"/>
            <w:tcBorders>
              <w:top w:val="nil"/>
              <w:lef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-8.7</w:t>
            </w:r>
          </w:p>
        </w:tc>
      </w:tr>
    </w:tbl>
    <w:p>
      <w:pPr>
        <w:pStyle w:val="5"/>
        <w:bidi w:val="0"/>
        <w:rPr>
          <w:highlight w:val="none"/>
        </w:rPr>
      </w:pPr>
      <w:bookmarkStart w:id="21" w:name="_Toc19483"/>
      <w:bookmarkStart w:id="22" w:name="_Toc11742"/>
      <w:bookmarkStart w:id="23" w:name="_Toc9086"/>
      <w:r>
        <w:rPr>
          <w:rFonts w:hint="eastAsia"/>
          <w:highlight w:val="none"/>
        </w:rPr>
        <w:t>对外经济</w:t>
      </w:r>
      <w:bookmarkEnd w:id="21"/>
      <w:bookmarkEnd w:id="22"/>
      <w:bookmarkEnd w:id="23"/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全年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海关出口总额</w:t>
      </w:r>
      <w:r>
        <w:rPr>
          <w:rFonts w:hint="eastAsia"/>
          <w:highlight w:val="none"/>
          <w:lang w:val="en-US" w:eastAsia="zh-CN"/>
        </w:rPr>
        <w:t>1929万元人民币</w:t>
      </w:r>
      <w:r>
        <w:rPr>
          <w:rFonts w:hint="eastAsia"/>
          <w:highlight w:val="none"/>
        </w:rPr>
        <w:t>，</w:t>
      </w:r>
      <w:r>
        <w:rPr>
          <w:rFonts w:hint="eastAsia"/>
          <w:highlight w:val="none"/>
          <w:lang w:val="en-US" w:eastAsia="zh-CN"/>
        </w:rPr>
        <w:t>增长73.95</w:t>
      </w:r>
      <w:r>
        <w:rPr>
          <w:rFonts w:hint="eastAsia"/>
          <w:highlight w:val="none"/>
        </w:rPr>
        <w:t>%。</w:t>
      </w:r>
    </w:p>
    <w:p>
      <w:pPr>
        <w:pStyle w:val="5"/>
        <w:bidi w:val="0"/>
        <w:rPr>
          <w:highlight w:val="none"/>
        </w:rPr>
      </w:pPr>
      <w:bookmarkStart w:id="24" w:name="_Toc5548"/>
      <w:bookmarkStart w:id="25" w:name="_Toc12761"/>
      <w:bookmarkStart w:id="26" w:name="_Toc28685"/>
      <w:r>
        <w:rPr>
          <w:rFonts w:hint="eastAsia"/>
          <w:highlight w:val="none"/>
        </w:rPr>
        <w:t>财政金融</w:t>
      </w:r>
      <w:bookmarkEnd w:id="24"/>
      <w:bookmarkEnd w:id="25"/>
      <w:bookmarkEnd w:id="26"/>
    </w:p>
    <w:p>
      <w:pPr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全年全县财政总收入34031万元，增长99.0%。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一般公共预算收入25687万元，增长100.9%，其中，企业所得税收入409万元，增长11.0%，增值税收入1872万元，增长30.6%。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一般公共预算支出</w:t>
      </w:r>
      <w:r>
        <w:rPr>
          <w:rFonts w:hint="eastAsia"/>
          <w:highlight w:val="none"/>
          <w:lang w:val="en-US" w:eastAsia="zh-CN"/>
        </w:rPr>
        <w:t>194608</w:t>
      </w:r>
      <w:r>
        <w:rPr>
          <w:rFonts w:hint="eastAsia"/>
          <w:highlight w:val="none"/>
          <w:lang w:eastAsia="zh-CN"/>
        </w:rPr>
        <w:t>万</w:t>
      </w:r>
      <w:r>
        <w:rPr>
          <w:rFonts w:hint="eastAsia"/>
          <w:highlight w:val="none"/>
        </w:rPr>
        <w:t>元，</w:t>
      </w:r>
      <w:r>
        <w:rPr>
          <w:rFonts w:hint="eastAsia"/>
          <w:highlight w:val="none"/>
          <w:lang w:val="en-US" w:eastAsia="zh-CN"/>
        </w:rPr>
        <w:t>增长16.2%，</w:t>
      </w:r>
      <w:r>
        <w:rPr>
          <w:rFonts w:hint="eastAsia"/>
          <w:highlight w:val="none"/>
        </w:rPr>
        <w:t>其中，一般公共服务支出</w:t>
      </w:r>
      <w:r>
        <w:rPr>
          <w:rFonts w:hint="eastAsia"/>
          <w:highlight w:val="none"/>
          <w:lang w:val="en-US" w:eastAsia="zh-CN"/>
        </w:rPr>
        <w:t>17554万元，</w:t>
      </w:r>
      <w:r>
        <w:rPr>
          <w:rFonts w:hint="eastAsia"/>
          <w:highlight w:val="none"/>
        </w:rPr>
        <w:t>增长</w:t>
      </w:r>
      <w:r>
        <w:rPr>
          <w:rFonts w:hint="eastAsia"/>
          <w:highlight w:val="none"/>
          <w:lang w:val="en-US" w:eastAsia="zh-CN"/>
        </w:rPr>
        <w:t>13.3%，教育支出24499万元，增长3.3</w:t>
      </w:r>
      <w:r>
        <w:rPr>
          <w:rFonts w:hint="eastAsia"/>
          <w:highlight w:val="none"/>
        </w:rPr>
        <w:t>%</w:t>
      </w:r>
      <w:r>
        <w:rPr>
          <w:rFonts w:hint="eastAsia"/>
          <w:highlight w:val="none"/>
          <w:lang w:eastAsia="zh-CN"/>
        </w:rPr>
        <w:t>，农林水事务</w:t>
      </w:r>
      <w:r>
        <w:rPr>
          <w:rFonts w:hint="eastAsia"/>
          <w:highlight w:val="none"/>
        </w:rPr>
        <w:t>支出</w:t>
      </w:r>
      <w:r>
        <w:rPr>
          <w:rFonts w:hint="eastAsia"/>
          <w:highlight w:val="none"/>
          <w:lang w:val="en-US" w:eastAsia="zh-CN"/>
        </w:rPr>
        <w:t>49405万元，</w:t>
      </w:r>
      <w:r>
        <w:rPr>
          <w:rFonts w:hint="eastAsia"/>
          <w:highlight w:val="none"/>
        </w:rPr>
        <w:t>增长</w:t>
      </w:r>
      <w:r>
        <w:rPr>
          <w:rFonts w:hint="eastAsia"/>
          <w:highlight w:val="none"/>
          <w:lang w:val="en-US" w:eastAsia="zh-CN"/>
        </w:rPr>
        <w:t>22.6%</w:t>
      </w:r>
      <w:r>
        <w:rPr>
          <w:rFonts w:hint="eastAsia"/>
          <w:highlight w:val="none"/>
        </w:rPr>
        <w:t>。</w:t>
      </w:r>
    </w:p>
    <w:p>
      <w:pPr>
        <w:pStyle w:val="6"/>
        <w:bidi w:val="0"/>
        <w:rPr>
          <w:highlight w:val="none"/>
        </w:rPr>
      </w:pPr>
      <w:r>
        <w:rPr>
          <w:rFonts w:hint="eastAsia"/>
          <w:highlight w:val="none"/>
          <w:lang w:eastAsia="zh-CN"/>
        </w:rPr>
        <w:t>2019—2023年</w:t>
      </w:r>
      <w:r>
        <w:rPr>
          <w:rFonts w:hint="eastAsia"/>
          <w:highlight w:val="none"/>
          <w:lang w:val="en-US" w:eastAsia="zh-CN"/>
        </w:rPr>
        <w:t>全县一般公共预算收入</w:t>
      </w:r>
      <w:r>
        <w:rPr>
          <w:rFonts w:hint="eastAsia"/>
          <w:highlight w:val="none"/>
        </w:rPr>
        <w:t>及其增长速度</w:t>
      </w:r>
    </w:p>
    <w:p>
      <w:pPr>
        <w:pStyle w:val="30"/>
        <w:bidi w:val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657215" cy="3345180"/>
            <wp:effectExtent l="0" t="0" r="635" b="762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6"/>
        <w:bidi w:val="0"/>
        <w:rPr>
          <w:highlight w:val="none"/>
        </w:rPr>
      </w:pPr>
      <w:r>
        <w:rPr>
          <w:rFonts w:hint="eastAsia"/>
          <w:highlight w:val="none"/>
          <w:lang w:eastAsia="zh-CN"/>
        </w:rPr>
        <w:t>2019—2023年</w:t>
      </w:r>
      <w:r>
        <w:rPr>
          <w:rFonts w:hint="eastAsia"/>
          <w:highlight w:val="none"/>
          <w:lang w:val="en-US" w:eastAsia="zh-CN"/>
        </w:rPr>
        <w:t>全县一般公共预算支出</w:t>
      </w:r>
      <w:r>
        <w:rPr>
          <w:rFonts w:hint="eastAsia"/>
          <w:highlight w:val="none"/>
        </w:rPr>
        <w:t>及其增长速度</w:t>
      </w:r>
    </w:p>
    <w:p>
      <w:pPr>
        <w:pStyle w:val="30"/>
        <w:bidi w:val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819775" cy="3146425"/>
            <wp:effectExtent l="0" t="0" r="9525" b="15875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年末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金融机构本外币各项存款余额513377</w:t>
      </w:r>
      <w:r>
        <w:rPr>
          <w:rFonts w:hint="eastAsia"/>
          <w:highlight w:val="none"/>
          <w:lang w:eastAsia="zh-CN"/>
        </w:rPr>
        <w:t>万</w:t>
      </w:r>
      <w:r>
        <w:rPr>
          <w:rFonts w:hint="eastAsia"/>
          <w:highlight w:val="none"/>
        </w:rPr>
        <w:t>元，比</w:t>
      </w:r>
      <w:bookmarkStart w:id="42" w:name="_GoBack"/>
      <w:bookmarkEnd w:id="42"/>
      <w:r>
        <w:rPr>
          <w:rFonts w:hint="eastAsia"/>
          <w:highlight w:val="none"/>
          <w:lang w:val="en-US" w:eastAsia="zh-CN"/>
        </w:rPr>
        <w:t>2022年末</w:t>
      </w:r>
      <w:r>
        <w:rPr>
          <w:rFonts w:hint="eastAsia"/>
          <w:highlight w:val="none"/>
        </w:rPr>
        <w:t>增加39337</w:t>
      </w:r>
      <w:r>
        <w:rPr>
          <w:rFonts w:hint="eastAsia"/>
          <w:highlight w:val="none"/>
          <w:lang w:val="en-US" w:eastAsia="zh-CN"/>
        </w:rPr>
        <w:t>万</w:t>
      </w:r>
      <w:r>
        <w:rPr>
          <w:rFonts w:hint="eastAsia"/>
          <w:highlight w:val="none"/>
        </w:rPr>
        <w:t>元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增长</w:t>
      </w:r>
      <w:r>
        <w:rPr>
          <w:rFonts w:hint="eastAsia"/>
          <w:highlight w:val="none"/>
          <w:lang w:val="en-US" w:eastAsia="zh-CN"/>
        </w:rPr>
        <w:t>8.3</w:t>
      </w:r>
      <w:r>
        <w:rPr>
          <w:rFonts w:hint="eastAsia"/>
          <w:highlight w:val="none"/>
        </w:rPr>
        <w:t>%。</w:t>
      </w:r>
      <w:r>
        <w:rPr>
          <w:rFonts w:hint="eastAsia"/>
          <w:highlight w:val="none"/>
          <w:lang w:val="en-US" w:eastAsia="zh-CN"/>
        </w:rPr>
        <w:t>其中单位存款65124万</w:t>
      </w:r>
      <w:r>
        <w:rPr>
          <w:rFonts w:hint="eastAsia"/>
          <w:highlight w:val="none"/>
        </w:rPr>
        <w:t>元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降低7.5</w:t>
      </w:r>
      <w:r>
        <w:rPr>
          <w:rFonts w:hint="eastAsia"/>
          <w:highlight w:val="none"/>
        </w:rPr>
        <w:t>%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  <w:lang w:val="en-US" w:eastAsia="zh-CN"/>
        </w:rPr>
        <w:t>财政存款22559万</w:t>
      </w:r>
      <w:r>
        <w:rPr>
          <w:rFonts w:hint="eastAsia"/>
          <w:highlight w:val="none"/>
        </w:rPr>
        <w:t>元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降低46.5</w:t>
      </w:r>
      <w:r>
        <w:rPr>
          <w:rFonts w:hint="eastAsia"/>
          <w:highlight w:val="none"/>
        </w:rPr>
        <w:t>%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  <w:lang w:val="en-US" w:eastAsia="zh-CN"/>
        </w:rPr>
        <w:t>居民储蓄存款425693万</w:t>
      </w:r>
      <w:r>
        <w:rPr>
          <w:rFonts w:hint="eastAsia"/>
          <w:highlight w:val="none"/>
        </w:rPr>
        <w:t>元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增长</w:t>
      </w:r>
      <w:r>
        <w:rPr>
          <w:rFonts w:hint="eastAsia"/>
          <w:highlight w:val="none"/>
          <w:lang w:val="en-US" w:eastAsia="zh-CN"/>
        </w:rPr>
        <w:t>17.8</w:t>
      </w:r>
      <w:r>
        <w:rPr>
          <w:rFonts w:hint="eastAsia"/>
          <w:highlight w:val="none"/>
        </w:rPr>
        <w:t>%。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各项贷款余额127243</w:t>
      </w:r>
      <w:r>
        <w:rPr>
          <w:rFonts w:hint="eastAsia"/>
          <w:highlight w:val="none"/>
          <w:lang w:eastAsia="zh-CN"/>
        </w:rPr>
        <w:t>万</w:t>
      </w:r>
      <w:r>
        <w:rPr>
          <w:rFonts w:hint="eastAsia"/>
          <w:highlight w:val="none"/>
        </w:rPr>
        <w:t>元，比</w:t>
      </w:r>
      <w:r>
        <w:rPr>
          <w:rFonts w:hint="eastAsia"/>
          <w:highlight w:val="none"/>
          <w:lang w:val="en-US" w:eastAsia="zh-CN"/>
        </w:rPr>
        <w:t>2022年末</w:t>
      </w:r>
      <w:r>
        <w:rPr>
          <w:rFonts w:hint="eastAsia"/>
          <w:highlight w:val="none"/>
        </w:rPr>
        <w:t>增加21937</w:t>
      </w:r>
      <w:r>
        <w:rPr>
          <w:rFonts w:hint="eastAsia"/>
          <w:highlight w:val="none"/>
          <w:lang w:eastAsia="zh-CN"/>
        </w:rPr>
        <w:t>万</w:t>
      </w:r>
      <w:r>
        <w:rPr>
          <w:rFonts w:hint="eastAsia"/>
          <w:highlight w:val="none"/>
        </w:rPr>
        <w:t>元、增长</w:t>
      </w:r>
      <w:r>
        <w:rPr>
          <w:rFonts w:hint="eastAsia"/>
          <w:highlight w:val="none"/>
          <w:lang w:val="en-US" w:eastAsia="zh-CN"/>
        </w:rPr>
        <w:t>20.8</w:t>
      </w:r>
      <w:r>
        <w:rPr>
          <w:rFonts w:hint="eastAsia"/>
          <w:highlight w:val="none"/>
        </w:rPr>
        <w:t>%。</w:t>
      </w:r>
    </w:p>
    <w:p>
      <w:pPr>
        <w:pStyle w:val="7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年末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金融机构本外币存贷款及其增长速度</w:t>
      </w:r>
    </w:p>
    <w:tbl>
      <w:tblPr>
        <w:tblStyle w:val="25"/>
        <w:tblW w:w="85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2"/>
        <w:gridCol w:w="2546"/>
        <w:gridCol w:w="266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指标</w:t>
            </w:r>
          </w:p>
        </w:tc>
        <w:tc>
          <w:tcPr>
            <w:tcW w:w="25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年末数（万元）</w:t>
            </w:r>
          </w:p>
        </w:tc>
        <w:tc>
          <w:tcPr>
            <w:tcW w:w="2672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比上年</w:t>
            </w:r>
            <w:r>
              <w:rPr>
                <w:rFonts w:hint="eastAsia"/>
                <w:highlight w:val="none"/>
                <w:lang w:val="en-US" w:eastAsia="zh-CN"/>
              </w:rPr>
              <w:t>末</w:t>
            </w:r>
            <w:r>
              <w:rPr>
                <w:rFonts w:hint="eastAsia"/>
                <w:highlight w:val="none"/>
              </w:rPr>
              <w:t>增长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%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9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jc w:val="both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各项存款余额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513377.69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8.30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9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ind w:firstLine="420" w:firstLineChars="200"/>
              <w:jc w:val="both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其中：</w:t>
            </w:r>
            <w:r>
              <w:rPr>
                <w:rFonts w:hint="eastAsia"/>
                <w:sz w:val="21"/>
                <w:szCs w:val="21"/>
                <w:highlight w:val="none"/>
              </w:rPr>
              <w:t>单位存款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65124.79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-7.52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9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ind w:firstLine="1050" w:firstLineChars="500"/>
              <w:jc w:val="both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财政存款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22559.31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-46.52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9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ind w:firstLine="1050" w:firstLineChars="500"/>
              <w:jc w:val="both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居民储蓄存款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425693.59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17.78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9" w:type="dxa"/>
            <w:tcBorders>
              <w:top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ind w:firstLine="0" w:firstLineChars="0"/>
              <w:jc w:val="both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各项</w:t>
            </w:r>
            <w:r>
              <w:rPr>
                <w:rFonts w:hint="eastAsia"/>
                <w:sz w:val="21"/>
                <w:szCs w:val="21"/>
                <w:highlight w:val="none"/>
              </w:rPr>
              <w:t>贷款余额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127243.46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20.83</w:t>
            </w:r>
          </w:p>
        </w:tc>
      </w:tr>
    </w:tbl>
    <w:p>
      <w:pPr>
        <w:pStyle w:val="6"/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2019—2023年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存款余额及其增长速度</w:t>
      </w:r>
    </w:p>
    <w:p>
      <w:pPr>
        <w:pStyle w:val="30"/>
        <w:bidi w:val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610860" cy="3345180"/>
            <wp:effectExtent l="0" t="0" r="8890" b="7620"/>
            <wp:docPr id="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pStyle w:val="6"/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2019—2023年</w:t>
      </w:r>
      <w:r>
        <w:rPr>
          <w:rFonts w:hint="eastAsia"/>
          <w:highlight w:val="none"/>
          <w:lang w:val="en-US" w:eastAsia="zh-CN"/>
        </w:rPr>
        <w:t>全县居民储蓄</w:t>
      </w:r>
      <w:r>
        <w:rPr>
          <w:rFonts w:hint="eastAsia"/>
          <w:highlight w:val="none"/>
        </w:rPr>
        <w:t>存款余额及其增长速度</w:t>
      </w:r>
    </w:p>
    <w:p>
      <w:pPr>
        <w:pStyle w:val="30"/>
        <w:bidi w:val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610860" cy="3345180"/>
            <wp:effectExtent l="0" t="0" r="8890" b="7620"/>
            <wp:docPr id="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bidi w:val="0"/>
        <w:rPr>
          <w:rFonts w:hint="eastAsia"/>
        </w:rPr>
      </w:pPr>
    </w:p>
    <w:p>
      <w:pPr>
        <w:pStyle w:val="6"/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2019—2023年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贷款余额及其增长速度</w:t>
      </w:r>
    </w:p>
    <w:p>
      <w:pPr>
        <w:pStyle w:val="30"/>
        <w:bidi w:val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610860" cy="3345180"/>
            <wp:effectExtent l="0" t="0" r="8890" b="7620"/>
            <wp:docPr id="1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pStyle w:val="2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全年</w:t>
      </w:r>
      <w:r>
        <w:rPr>
          <w:rFonts w:hint="eastAsia"/>
          <w:highlight w:val="none"/>
          <w:lang w:val="en-US" w:eastAsia="zh-CN"/>
        </w:rPr>
        <w:t>全县各类保险公司5个，其中寿险公司2个，财险公司3个。</w:t>
      </w:r>
      <w:r>
        <w:rPr>
          <w:rFonts w:hint="eastAsia"/>
          <w:highlight w:val="none"/>
          <w:lang w:eastAsia="zh-CN"/>
        </w:rPr>
        <w:t>全年</w:t>
      </w:r>
      <w:r>
        <w:rPr>
          <w:rFonts w:hint="eastAsia"/>
          <w:highlight w:val="none"/>
          <w:lang w:val="en-US" w:eastAsia="zh-CN"/>
        </w:rPr>
        <w:t>全县寿险部分赔款及给付件数873件，财产险部分赔款及给付件数4416件。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全年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  <w:lang w:eastAsia="zh-CN"/>
        </w:rPr>
        <w:t>保费收入</w:t>
      </w:r>
      <w:r>
        <w:rPr>
          <w:rFonts w:hint="eastAsia"/>
          <w:highlight w:val="none"/>
          <w:lang w:val="en-US" w:eastAsia="zh-CN"/>
        </w:rPr>
        <w:t>5314.5万</w:t>
      </w:r>
      <w:r>
        <w:rPr>
          <w:rFonts w:hint="eastAsia"/>
          <w:highlight w:val="none"/>
          <w:lang w:eastAsia="zh-CN"/>
        </w:rPr>
        <w:t>元，</w:t>
      </w:r>
      <w:r>
        <w:rPr>
          <w:rFonts w:hint="eastAsia"/>
          <w:highlight w:val="none"/>
          <w:lang w:val="en-US" w:eastAsia="zh-CN"/>
        </w:rPr>
        <w:t>其中</w:t>
      </w:r>
      <w:r>
        <w:rPr>
          <w:rFonts w:hint="eastAsia"/>
          <w:highlight w:val="none"/>
          <w:lang w:eastAsia="zh-CN"/>
        </w:rPr>
        <w:t>寿险部分保费收入合计</w:t>
      </w:r>
      <w:r>
        <w:rPr>
          <w:rFonts w:hint="eastAsia"/>
          <w:highlight w:val="none"/>
          <w:lang w:val="en-US" w:eastAsia="zh-CN"/>
        </w:rPr>
        <w:t>3112.2万元，财产险部分保费收入合计2202.3万元。</w:t>
      </w:r>
    </w:p>
    <w:p>
      <w:pPr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全年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  <w:lang w:eastAsia="zh-CN"/>
        </w:rPr>
        <w:t>各项赔款及给付合计</w:t>
      </w:r>
      <w:r>
        <w:rPr>
          <w:rFonts w:hint="eastAsia"/>
          <w:highlight w:val="none"/>
          <w:lang w:val="en-US" w:eastAsia="zh-CN"/>
        </w:rPr>
        <w:t>2740.2万元，其中</w:t>
      </w:r>
      <w:r>
        <w:rPr>
          <w:rFonts w:hint="eastAsia"/>
          <w:highlight w:val="none"/>
          <w:lang w:eastAsia="zh-CN"/>
        </w:rPr>
        <w:t>寿险部分</w:t>
      </w:r>
      <w:r>
        <w:rPr>
          <w:rFonts w:hint="eastAsia"/>
          <w:highlight w:val="none"/>
          <w:lang w:val="en-US" w:eastAsia="zh-CN"/>
        </w:rPr>
        <w:t>各项赔款及给付</w:t>
      </w:r>
      <w:r>
        <w:rPr>
          <w:rFonts w:hint="eastAsia"/>
          <w:highlight w:val="none"/>
          <w:lang w:eastAsia="zh-CN"/>
        </w:rPr>
        <w:t>合计</w:t>
      </w:r>
      <w:r>
        <w:rPr>
          <w:rFonts w:hint="eastAsia"/>
          <w:highlight w:val="none"/>
          <w:lang w:val="en-US" w:eastAsia="zh-CN"/>
        </w:rPr>
        <w:t>879.5万元，财产险部分各项赔款及给付1860.7万元。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5"/>
        <w:bidi w:val="0"/>
        <w:rPr>
          <w:highlight w:val="none"/>
        </w:rPr>
      </w:pPr>
      <w:bookmarkStart w:id="27" w:name="_Toc1064"/>
      <w:bookmarkStart w:id="28" w:name="_Toc2418"/>
      <w:bookmarkStart w:id="29" w:name="_Toc11718"/>
      <w:r>
        <w:rPr>
          <w:rFonts w:hint="eastAsia"/>
          <w:highlight w:val="none"/>
        </w:rPr>
        <w:t>居民收入消费和社会保障</w:t>
      </w:r>
      <w:bookmarkEnd w:id="27"/>
      <w:bookmarkEnd w:id="28"/>
      <w:bookmarkEnd w:id="29"/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全年全县居民人均可支配收入</w:t>
      </w:r>
      <w:r>
        <w:rPr>
          <w:rFonts w:hint="eastAsia"/>
          <w:highlight w:val="none"/>
          <w:lang w:val="en-US" w:eastAsia="zh-CN"/>
        </w:rPr>
        <w:t>22040</w:t>
      </w:r>
      <w:r>
        <w:rPr>
          <w:rFonts w:hint="eastAsia"/>
          <w:highlight w:val="none"/>
        </w:rPr>
        <w:t>元，比上年增长</w:t>
      </w:r>
      <w:r>
        <w:rPr>
          <w:rFonts w:hint="eastAsia"/>
          <w:highlight w:val="none"/>
          <w:lang w:val="en-US" w:eastAsia="zh-CN"/>
        </w:rPr>
        <w:t>7.8</w:t>
      </w:r>
      <w:r>
        <w:rPr>
          <w:rFonts w:hint="eastAsia"/>
          <w:highlight w:val="none"/>
        </w:rPr>
        <w:t>%。其中，城镇常住居民人均可支配收入</w:t>
      </w:r>
      <w:r>
        <w:rPr>
          <w:rFonts w:hint="eastAsia"/>
          <w:highlight w:val="none"/>
          <w:lang w:val="en-US" w:eastAsia="zh-CN"/>
        </w:rPr>
        <w:t>36122</w:t>
      </w:r>
      <w:r>
        <w:rPr>
          <w:rFonts w:hint="eastAsia"/>
          <w:highlight w:val="none"/>
        </w:rPr>
        <w:t>元，增长</w:t>
      </w:r>
      <w:r>
        <w:rPr>
          <w:rFonts w:hint="eastAsia"/>
          <w:highlight w:val="none"/>
          <w:lang w:val="en-US" w:eastAsia="zh-CN"/>
        </w:rPr>
        <w:t>6.5</w:t>
      </w:r>
      <w:r>
        <w:rPr>
          <w:rFonts w:hint="eastAsia"/>
          <w:highlight w:val="none"/>
        </w:rPr>
        <w:t>%；农村常住居民人均可支配收入</w:t>
      </w:r>
      <w:r>
        <w:rPr>
          <w:rFonts w:hint="eastAsia"/>
          <w:highlight w:val="none"/>
          <w:lang w:val="en-US" w:eastAsia="zh-CN"/>
        </w:rPr>
        <w:t>8911</w:t>
      </w:r>
      <w:r>
        <w:rPr>
          <w:rFonts w:hint="eastAsia"/>
          <w:highlight w:val="none"/>
        </w:rPr>
        <w:t>元，增长</w:t>
      </w:r>
      <w:r>
        <w:rPr>
          <w:rFonts w:hint="eastAsia"/>
          <w:highlight w:val="none"/>
          <w:lang w:val="en-US" w:eastAsia="zh-CN"/>
        </w:rPr>
        <w:t>9.8</w:t>
      </w:r>
      <w:r>
        <w:rPr>
          <w:rFonts w:hint="eastAsia"/>
          <w:highlight w:val="none"/>
        </w:rPr>
        <w:t>%。</w:t>
      </w:r>
    </w:p>
    <w:p>
      <w:pPr>
        <w:pStyle w:val="2"/>
        <w:rPr>
          <w:rFonts w:hint="eastAsia"/>
          <w:highlight w:val="none"/>
        </w:rPr>
      </w:pPr>
    </w:p>
    <w:p>
      <w:pPr>
        <w:pStyle w:val="6"/>
        <w:bidi w:val="0"/>
        <w:rPr>
          <w:highlight w:val="none"/>
        </w:rPr>
      </w:pPr>
      <w:r>
        <w:rPr>
          <w:rFonts w:hint="eastAsia"/>
          <w:highlight w:val="none"/>
          <w:lang w:eastAsia="zh-CN"/>
        </w:rPr>
        <w:t>2019—2023年全县</w:t>
      </w:r>
      <w:r>
        <w:rPr>
          <w:rFonts w:hint="eastAsia"/>
          <w:highlight w:val="none"/>
        </w:rPr>
        <w:t>居民人均可支配收入及其增长速度</w:t>
      </w:r>
    </w:p>
    <w:p>
      <w:pPr>
        <w:pStyle w:val="30"/>
        <w:bidi w:val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655310" cy="3482975"/>
            <wp:effectExtent l="0" t="0" r="2540" b="3175"/>
            <wp:docPr id="1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>
      <w:pPr>
        <w:pStyle w:val="6"/>
        <w:bidi w:val="0"/>
        <w:rPr>
          <w:highlight w:val="none"/>
        </w:rPr>
      </w:pPr>
      <w:r>
        <w:rPr>
          <w:rFonts w:hint="eastAsia"/>
          <w:highlight w:val="none"/>
          <w:lang w:eastAsia="zh-CN"/>
        </w:rPr>
        <w:t>2019—2023年</w:t>
      </w:r>
      <w:r>
        <w:rPr>
          <w:rFonts w:hint="eastAsia"/>
          <w:highlight w:val="none"/>
        </w:rPr>
        <w:t>全县</w:t>
      </w:r>
      <w:r>
        <w:rPr>
          <w:rFonts w:hint="eastAsia"/>
          <w:highlight w:val="none"/>
          <w:lang w:val="en-US" w:eastAsia="zh-CN"/>
        </w:rPr>
        <w:t>城镇</w:t>
      </w:r>
      <w:r>
        <w:rPr>
          <w:rFonts w:hint="eastAsia"/>
          <w:highlight w:val="none"/>
        </w:rPr>
        <w:t>常住居民人均可支配收入及其增长速度</w:t>
      </w:r>
    </w:p>
    <w:p>
      <w:pPr>
        <w:pStyle w:val="30"/>
        <w:bidi w:val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622290" cy="3653790"/>
            <wp:effectExtent l="0" t="0" r="16510" b="3810"/>
            <wp:docPr id="1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>
      <w:pPr>
        <w:pStyle w:val="6"/>
        <w:bidi w:val="0"/>
        <w:rPr>
          <w:highlight w:val="none"/>
        </w:rPr>
      </w:pPr>
      <w:r>
        <w:rPr>
          <w:rFonts w:hint="eastAsia"/>
          <w:highlight w:val="none"/>
          <w:lang w:eastAsia="zh-CN"/>
        </w:rPr>
        <w:t>2019—2023</w:t>
      </w:r>
      <w:r>
        <w:rPr>
          <w:rFonts w:hint="eastAsia"/>
          <w:highlight w:val="none"/>
        </w:rPr>
        <w:t>年全县</w:t>
      </w:r>
      <w:r>
        <w:rPr>
          <w:rFonts w:hint="eastAsia"/>
          <w:highlight w:val="none"/>
          <w:lang w:val="en-US" w:eastAsia="zh-CN"/>
        </w:rPr>
        <w:t>农村</w:t>
      </w:r>
      <w:r>
        <w:rPr>
          <w:rFonts w:hint="eastAsia"/>
          <w:highlight w:val="none"/>
        </w:rPr>
        <w:t>常住居民人均可支配收入及其增长速度</w:t>
      </w:r>
    </w:p>
    <w:p>
      <w:pPr>
        <w:pStyle w:val="30"/>
        <w:bidi w:val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610860" cy="3345180"/>
            <wp:effectExtent l="0" t="0" r="8890" b="7620"/>
            <wp:docPr id="20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>
      <w:pPr>
        <w:rPr>
          <w:highlight w:val="none"/>
        </w:rPr>
      </w:pPr>
      <w:r>
        <w:rPr>
          <w:rFonts w:hint="eastAsia"/>
          <w:highlight w:val="none"/>
        </w:rPr>
        <w:t>全年全县开展</w:t>
      </w:r>
      <w:r>
        <w:rPr>
          <w:rFonts w:hint="eastAsia"/>
          <w:highlight w:val="none"/>
          <w:lang w:val="en-US" w:eastAsia="zh-CN"/>
        </w:rPr>
        <w:t>技能</w:t>
      </w:r>
      <w:r>
        <w:rPr>
          <w:rFonts w:hint="eastAsia"/>
          <w:highlight w:val="none"/>
        </w:rPr>
        <w:t>培训</w:t>
      </w:r>
      <w:r>
        <w:rPr>
          <w:rFonts w:hint="eastAsia"/>
          <w:highlight w:val="none"/>
          <w:lang w:val="en-US" w:eastAsia="zh-CN"/>
        </w:rPr>
        <w:t>383</w:t>
      </w:r>
      <w:r>
        <w:rPr>
          <w:rFonts w:hint="eastAsia"/>
          <w:highlight w:val="none"/>
        </w:rPr>
        <w:t>人</w:t>
      </w:r>
      <w:r>
        <w:rPr>
          <w:rFonts w:hint="eastAsia"/>
          <w:highlight w:val="none"/>
          <w:lang w:val="en-US" w:eastAsia="zh-CN"/>
        </w:rPr>
        <w:t>次，比上年下降34.6%；创业</w:t>
      </w:r>
      <w:r>
        <w:rPr>
          <w:rFonts w:hint="eastAsia"/>
          <w:highlight w:val="none"/>
        </w:rPr>
        <w:t>培训</w:t>
      </w:r>
      <w:r>
        <w:rPr>
          <w:rFonts w:hint="eastAsia"/>
          <w:highlight w:val="none"/>
          <w:lang w:val="en-US" w:eastAsia="zh-CN"/>
        </w:rPr>
        <w:t>60</w:t>
      </w:r>
      <w:r>
        <w:rPr>
          <w:rFonts w:hint="eastAsia"/>
          <w:highlight w:val="none"/>
        </w:rPr>
        <w:t>人</w:t>
      </w:r>
      <w:r>
        <w:rPr>
          <w:rFonts w:hint="eastAsia"/>
          <w:highlight w:val="none"/>
          <w:lang w:val="en-US" w:eastAsia="zh-CN"/>
        </w:rPr>
        <w:t>次，比上年下降33.3%</w:t>
      </w:r>
      <w:r>
        <w:rPr>
          <w:rFonts w:hint="eastAsia"/>
          <w:highlight w:val="none"/>
        </w:rPr>
        <w:t>。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年末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参加城乡居民基本养老保险的人数为</w:t>
      </w:r>
      <w:r>
        <w:rPr>
          <w:rFonts w:hint="eastAsia"/>
          <w:highlight w:val="none"/>
          <w:lang w:val="en-US" w:eastAsia="zh-CN"/>
        </w:rPr>
        <w:t>82847</w:t>
      </w:r>
      <w:r>
        <w:rPr>
          <w:rFonts w:hint="eastAsia"/>
          <w:highlight w:val="none"/>
        </w:rPr>
        <w:t>人；参加城镇职工基本养老保险人数</w:t>
      </w:r>
      <w:r>
        <w:rPr>
          <w:rFonts w:hint="eastAsia"/>
          <w:highlight w:val="none"/>
          <w:lang w:val="en-US" w:eastAsia="zh-CN"/>
        </w:rPr>
        <w:t>为12658人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</w:rPr>
        <w:t>参加</w:t>
      </w:r>
      <w:r>
        <w:rPr>
          <w:rFonts w:hint="eastAsia"/>
          <w:highlight w:val="none"/>
          <w:lang w:val="en-US" w:eastAsia="zh-CN"/>
        </w:rPr>
        <w:t>失业</w:t>
      </w:r>
      <w:r>
        <w:rPr>
          <w:rFonts w:hint="eastAsia"/>
          <w:highlight w:val="none"/>
        </w:rPr>
        <w:t>保险的人数为</w:t>
      </w:r>
      <w:r>
        <w:rPr>
          <w:rFonts w:hint="eastAsia"/>
          <w:highlight w:val="none"/>
          <w:lang w:val="en-US" w:eastAsia="zh-CN"/>
        </w:rPr>
        <w:t>6865人，领取失业保险金的人数为112人；</w:t>
      </w:r>
      <w:r>
        <w:rPr>
          <w:rFonts w:hint="eastAsia"/>
          <w:highlight w:val="none"/>
        </w:rPr>
        <w:t>参加工伤保险的人数为</w:t>
      </w:r>
      <w:r>
        <w:rPr>
          <w:rFonts w:hint="eastAsia"/>
          <w:highlight w:val="none"/>
          <w:lang w:val="en-US" w:eastAsia="zh-CN"/>
        </w:rPr>
        <w:t>9733</w:t>
      </w:r>
      <w:r>
        <w:rPr>
          <w:rFonts w:hint="eastAsia"/>
          <w:highlight w:val="none"/>
        </w:rPr>
        <w:t>人。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年末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参加基本医疗保险的人数为</w:t>
      </w:r>
      <w:r>
        <w:rPr>
          <w:rFonts w:hint="eastAsia"/>
          <w:highlight w:val="none"/>
          <w:lang w:val="en-US" w:eastAsia="zh-CN"/>
        </w:rPr>
        <w:t>127662</w:t>
      </w:r>
      <w:r>
        <w:rPr>
          <w:rFonts w:hint="eastAsia"/>
          <w:highlight w:val="none"/>
        </w:rPr>
        <w:t>人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下降2.5%。其中，参加职工基本医疗保险人数5251人，参加城乡居民基本医疗保险人数119031人，</w:t>
      </w:r>
      <w:r>
        <w:rPr>
          <w:rFonts w:hint="eastAsia"/>
          <w:highlight w:val="none"/>
        </w:rPr>
        <w:t>参加医疗费用统筹的离退休人数为</w:t>
      </w:r>
      <w:r>
        <w:rPr>
          <w:rFonts w:hint="eastAsia"/>
          <w:highlight w:val="none"/>
          <w:lang w:val="en-US" w:eastAsia="zh-CN"/>
        </w:rPr>
        <w:t>3380</w:t>
      </w:r>
      <w:r>
        <w:rPr>
          <w:rFonts w:hint="eastAsia"/>
          <w:highlight w:val="none"/>
        </w:rPr>
        <w:t>人。</w:t>
      </w:r>
      <w:r>
        <w:rPr>
          <w:rFonts w:hint="eastAsia"/>
          <w:highlight w:val="none"/>
          <w:lang w:val="en-US" w:eastAsia="zh-CN"/>
        </w:rPr>
        <w:t>此外，</w:t>
      </w:r>
      <w:r>
        <w:rPr>
          <w:rFonts w:hint="eastAsia"/>
          <w:highlight w:val="none"/>
        </w:rPr>
        <w:t>参加</w:t>
      </w:r>
      <w:r>
        <w:rPr>
          <w:rFonts w:hint="eastAsia"/>
          <w:highlight w:val="none"/>
          <w:lang w:val="en-US" w:eastAsia="zh-CN"/>
        </w:rPr>
        <w:t>生育</w:t>
      </w:r>
      <w:r>
        <w:rPr>
          <w:rFonts w:hint="eastAsia"/>
          <w:highlight w:val="none"/>
        </w:rPr>
        <w:t>保险的人数为</w:t>
      </w:r>
      <w:r>
        <w:rPr>
          <w:rFonts w:hint="eastAsia"/>
          <w:highlight w:val="none"/>
          <w:lang w:val="en-US" w:eastAsia="zh-CN"/>
        </w:rPr>
        <w:t>5251</w:t>
      </w:r>
      <w:r>
        <w:rPr>
          <w:rFonts w:hint="eastAsia"/>
          <w:highlight w:val="none"/>
        </w:rPr>
        <w:t>人。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年末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纳入城市最低生活保障的居民</w:t>
      </w:r>
      <w:r>
        <w:rPr>
          <w:rFonts w:hint="eastAsia"/>
          <w:highlight w:val="none"/>
          <w:lang w:val="en-US" w:eastAsia="zh-CN"/>
        </w:rPr>
        <w:t>1213</w:t>
      </w:r>
      <w:r>
        <w:rPr>
          <w:rFonts w:hint="eastAsia"/>
          <w:highlight w:val="none"/>
        </w:rPr>
        <w:t>人，发放城市低保资金5523350元；享受农村最低生活保障人数的居民</w:t>
      </w:r>
      <w:r>
        <w:rPr>
          <w:rFonts w:hint="eastAsia"/>
          <w:highlight w:val="none"/>
          <w:lang w:val="en-US" w:eastAsia="zh-CN"/>
        </w:rPr>
        <w:t>5248</w:t>
      </w:r>
      <w:r>
        <w:rPr>
          <w:rFonts w:hint="eastAsia"/>
          <w:highlight w:val="none"/>
        </w:rPr>
        <w:t>人，发放农村低保资金24345097元。年末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享受农村特困人员</w:t>
      </w:r>
      <w:r>
        <w:rPr>
          <w:rFonts w:hint="eastAsia"/>
          <w:highlight w:val="none"/>
          <w:lang w:eastAsia="zh-CN"/>
        </w:rPr>
        <w:t>（农村五保供养）</w:t>
      </w:r>
      <w:r>
        <w:rPr>
          <w:rFonts w:hint="eastAsia"/>
          <w:highlight w:val="none"/>
        </w:rPr>
        <w:t>救助供养人数</w:t>
      </w:r>
      <w:r>
        <w:rPr>
          <w:rFonts w:hint="eastAsia"/>
          <w:highlight w:val="none"/>
          <w:lang w:val="en-US" w:eastAsia="zh-CN"/>
        </w:rPr>
        <w:t>511人，发放五保供养金4870902元；临时救助294人。</w:t>
      </w:r>
      <w:r>
        <w:rPr>
          <w:rFonts w:hint="eastAsia"/>
          <w:highlight w:val="none"/>
        </w:rPr>
        <w:t>年末</w:t>
      </w:r>
      <w:r>
        <w:rPr>
          <w:rFonts w:hint="eastAsia"/>
          <w:highlight w:val="none"/>
          <w:lang w:val="en-US" w:eastAsia="zh-CN"/>
        </w:rPr>
        <w:t>全县直接接受社会捐赠款380000元。全县收养性单位1家，收养人数1人。全县社区服务机构3家。</w:t>
      </w:r>
    </w:p>
    <w:p>
      <w:pPr>
        <w:pStyle w:val="2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2023年，全县登记结婚人数958人，结婚率0.96%。</w:t>
      </w:r>
    </w:p>
    <w:p>
      <w:pPr>
        <w:pStyle w:val="5"/>
        <w:rPr>
          <w:highlight w:val="none"/>
        </w:rPr>
      </w:pPr>
      <w:bookmarkStart w:id="30" w:name="_Toc18994"/>
      <w:bookmarkStart w:id="31" w:name="_Toc16739"/>
      <w:bookmarkStart w:id="32" w:name="_Toc6419"/>
      <w:r>
        <w:rPr>
          <w:rFonts w:hint="eastAsia"/>
          <w:highlight w:val="none"/>
        </w:rPr>
        <w:t>科学技术和教育</w:t>
      </w:r>
      <w:bookmarkEnd w:id="30"/>
      <w:bookmarkEnd w:id="31"/>
      <w:bookmarkEnd w:id="32"/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年末</w:t>
      </w:r>
      <w:r>
        <w:rPr>
          <w:rFonts w:hint="eastAsia"/>
          <w:highlight w:val="none"/>
          <w:lang w:val="en-US" w:eastAsia="zh-CN"/>
        </w:rPr>
        <w:t>全县普通中学3</w:t>
      </w:r>
      <w:r>
        <w:rPr>
          <w:rFonts w:hint="eastAsia"/>
          <w:highlight w:val="none"/>
        </w:rPr>
        <w:t>所</w:t>
      </w:r>
      <w:r>
        <w:rPr>
          <w:rFonts w:hint="eastAsia"/>
          <w:highlight w:val="none"/>
          <w:lang w:eastAsia="zh-CN"/>
        </w:rPr>
        <w:t>，专任教师数</w:t>
      </w:r>
      <w:r>
        <w:rPr>
          <w:rFonts w:hint="eastAsia"/>
          <w:highlight w:val="none"/>
          <w:lang w:val="en-US" w:eastAsia="zh-CN"/>
        </w:rPr>
        <w:t>408人，当年毕业1312人，年末在校学生3480人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  <w:lang w:val="en-US" w:eastAsia="zh-CN"/>
        </w:rPr>
        <w:t>小学21所</w:t>
      </w:r>
      <w:r>
        <w:rPr>
          <w:rFonts w:hint="eastAsia"/>
          <w:highlight w:val="none"/>
          <w:lang w:eastAsia="zh-CN"/>
        </w:rPr>
        <w:t>，专任教师数</w:t>
      </w:r>
      <w:r>
        <w:rPr>
          <w:rFonts w:hint="eastAsia"/>
          <w:highlight w:val="none"/>
          <w:lang w:val="en-US" w:eastAsia="zh-CN"/>
        </w:rPr>
        <w:t>798人，当年毕业1302人，年末在校学生6458人</w:t>
      </w:r>
      <w:r>
        <w:rPr>
          <w:rFonts w:hint="eastAsia"/>
          <w:highlight w:val="none"/>
        </w:rPr>
        <w:t>。</w:t>
      </w:r>
    </w:p>
    <w:p>
      <w:pPr>
        <w:pStyle w:val="7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年全县各类教育发展情况</w:t>
      </w:r>
    </w:p>
    <w:tbl>
      <w:tblPr>
        <w:tblStyle w:val="25"/>
        <w:tblW w:w="8504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695"/>
        <w:gridCol w:w="1695"/>
        <w:gridCol w:w="1696"/>
        <w:gridCol w:w="1696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261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highlight w:val="none"/>
              </w:rPr>
            </w:pPr>
            <w:r>
              <w:rPr>
                <w:highlight w:val="none"/>
                <w:lang w:val="en-US" w:eastAsia="zh-CN"/>
              </w:rPr>
              <w:t>指标</w:t>
            </w:r>
          </w:p>
        </w:tc>
        <w:tc>
          <w:tcPr>
            <w:tcW w:w="12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教师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（人）</w:t>
            </w:r>
          </w:p>
        </w:tc>
        <w:tc>
          <w:tcPr>
            <w:tcW w:w="12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招生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（人）</w:t>
            </w:r>
          </w:p>
        </w:tc>
        <w:tc>
          <w:tcPr>
            <w:tcW w:w="124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在校生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（人）</w:t>
            </w:r>
          </w:p>
        </w:tc>
        <w:tc>
          <w:tcPr>
            <w:tcW w:w="124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毕业生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（人）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1261" w:type="dxa"/>
            <w:tcBorders>
              <w:top w:val="single" w:color="auto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中等职业教育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109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370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000000" w:sz="4" w:space="0"/>
              <w:bottom w:val="nil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1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中等职业教育</w:t>
            </w:r>
          </w:p>
        </w:tc>
        <w:tc>
          <w:tcPr>
            <w:tcW w:w="1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43</w:t>
            </w:r>
          </w:p>
        </w:tc>
        <w:tc>
          <w:tcPr>
            <w:tcW w:w="1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109</w:t>
            </w:r>
          </w:p>
        </w:tc>
        <w:tc>
          <w:tcPr>
            <w:tcW w:w="12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370</w:t>
            </w:r>
          </w:p>
        </w:tc>
        <w:tc>
          <w:tcPr>
            <w:tcW w:w="1241" w:type="dxa"/>
            <w:tcBorders>
              <w:top w:val="nil"/>
              <w:left w:val="single" w:color="000000" w:sz="4" w:space="0"/>
              <w:bottom w:val="nil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1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普通高中</w:t>
            </w:r>
          </w:p>
        </w:tc>
        <w:tc>
          <w:tcPr>
            <w:tcW w:w="1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223</w:t>
            </w:r>
          </w:p>
        </w:tc>
        <w:tc>
          <w:tcPr>
            <w:tcW w:w="1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791</w:t>
            </w:r>
          </w:p>
        </w:tc>
        <w:tc>
          <w:tcPr>
            <w:tcW w:w="12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2420</w:t>
            </w:r>
          </w:p>
        </w:tc>
        <w:tc>
          <w:tcPr>
            <w:tcW w:w="1241" w:type="dxa"/>
            <w:tcBorders>
              <w:top w:val="nil"/>
              <w:left w:val="single" w:color="000000" w:sz="4" w:space="0"/>
              <w:bottom w:val="nil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765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1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highlight w:val="none"/>
                <w:lang w:val="en-US" w:eastAsia="zh-CN"/>
              </w:rPr>
              <w:t>初中</w:t>
            </w:r>
          </w:p>
        </w:tc>
        <w:tc>
          <w:tcPr>
            <w:tcW w:w="1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408</w:t>
            </w:r>
          </w:p>
        </w:tc>
        <w:tc>
          <w:tcPr>
            <w:tcW w:w="1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1207</w:t>
            </w:r>
          </w:p>
        </w:tc>
        <w:tc>
          <w:tcPr>
            <w:tcW w:w="12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3480</w:t>
            </w:r>
          </w:p>
        </w:tc>
        <w:tc>
          <w:tcPr>
            <w:tcW w:w="1241" w:type="dxa"/>
            <w:tcBorders>
              <w:top w:val="nil"/>
              <w:left w:val="single" w:color="000000" w:sz="4" w:space="0"/>
              <w:bottom w:val="nil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1312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1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highlight w:val="none"/>
                <w:lang w:val="en-US" w:eastAsia="zh-CN"/>
              </w:rPr>
              <w:t>小学</w:t>
            </w:r>
          </w:p>
        </w:tc>
        <w:tc>
          <w:tcPr>
            <w:tcW w:w="1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798</w:t>
            </w:r>
          </w:p>
        </w:tc>
        <w:tc>
          <w:tcPr>
            <w:tcW w:w="1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794</w:t>
            </w:r>
          </w:p>
        </w:tc>
        <w:tc>
          <w:tcPr>
            <w:tcW w:w="12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6458</w:t>
            </w:r>
          </w:p>
        </w:tc>
        <w:tc>
          <w:tcPr>
            <w:tcW w:w="1241" w:type="dxa"/>
            <w:tcBorders>
              <w:top w:val="nil"/>
              <w:left w:val="single" w:color="000000" w:sz="4" w:space="0"/>
              <w:bottom w:val="nil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1302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1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特殊教育</w:t>
            </w:r>
          </w:p>
        </w:tc>
        <w:tc>
          <w:tcPr>
            <w:tcW w:w="1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**</w:t>
            </w:r>
          </w:p>
        </w:tc>
        <w:tc>
          <w:tcPr>
            <w:tcW w:w="1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**</w:t>
            </w:r>
          </w:p>
        </w:tc>
        <w:tc>
          <w:tcPr>
            <w:tcW w:w="12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**</w:t>
            </w:r>
          </w:p>
        </w:tc>
        <w:tc>
          <w:tcPr>
            <w:tcW w:w="1241" w:type="dxa"/>
            <w:tcBorders>
              <w:top w:val="nil"/>
              <w:left w:val="single" w:color="000000" w:sz="4" w:space="0"/>
              <w:bottom w:val="nil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**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1" w:type="dxa"/>
            <w:tcBorders>
              <w:top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学前教育</w:t>
            </w:r>
          </w:p>
        </w:tc>
        <w:tc>
          <w:tcPr>
            <w:tcW w:w="1240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358</w:t>
            </w:r>
          </w:p>
        </w:tc>
        <w:tc>
          <w:tcPr>
            <w:tcW w:w="1240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544</w:t>
            </w:r>
          </w:p>
        </w:tc>
        <w:tc>
          <w:tcPr>
            <w:tcW w:w="1241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2167</w:t>
            </w:r>
          </w:p>
        </w:tc>
        <w:tc>
          <w:tcPr>
            <w:tcW w:w="1241" w:type="dxa"/>
            <w:tcBorders>
              <w:top w:val="nil"/>
              <w:lef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30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754</w:t>
            </w:r>
          </w:p>
        </w:tc>
      </w:tr>
    </w:tbl>
    <w:p>
      <w:pPr>
        <w:bidi w:val="0"/>
        <w:rPr>
          <w:rFonts w:hint="default" w:eastAsia="仿宋_GB2312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有气象台（站）</w:t>
      </w:r>
      <w:r>
        <w:rPr>
          <w:rFonts w:hint="eastAsia"/>
          <w:highlight w:val="none"/>
          <w:lang w:val="en-US" w:eastAsia="zh-CN"/>
        </w:rPr>
        <w:t>8</w:t>
      </w:r>
      <w:r>
        <w:rPr>
          <w:rFonts w:hint="eastAsia"/>
          <w:highlight w:val="none"/>
        </w:rPr>
        <w:t>个。气象系统开展人工影响天气业务的单位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个，全年降水量</w:t>
      </w:r>
      <w:r>
        <w:rPr>
          <w:rFonts w:hint="eastAsia"/>
          <w:highlight w:val="none"/>
          <w:lang w:val="en-US" w:eastAsia="zh-CN"/>
        </w:rPr>
        <w:t>516.7</w:t>
      </w:r>
      <w:r>
        <w:rPr>
          <w:rFonts w:hint="eastAsia"/>
          <w:highlight w:val="none"/>
        </w:rPr>
        <w:t>mm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防雹、增雨受益覆盖面积</w:t>
      </w:r>
      <w:r>
        <w:rPr>
          <w:rFonts w:hint="eastAsia"/>
          <w:highlight w:val="none"/>
          <w:lang w:val="en-US" w:eastAsia="zh-CN"/>
        </w:rPr>
        <w:t>300</w:t>
      </w:r>
      <w:r>
        <w:rPr>
          <w:rFonts w:hint="eastAsia"/>
          <w:highlight w:val="none"/>
        </w:rPr>
        <w:t>平方公里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全年平均气温11.1摄氏度，日照时长2674.5小时。全年平均气压901.7hpa。全年无霜期210天。</w:t>
      </w:r>
    </w:p>
    <w:p>
      <w:pPr>
        <w:bidi w:val="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有专业综合地震台站1个，县级地震台网中心1个，前兆台站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个。</w:t>
      </w:r>
    </w:p>
    <w:p>
      <w:pPr>
        <w:pStyle w:val="5"/>
        <w:bidi w:val="0"/>
        <w:rPr>
          <w:highlight w:val="none"/>
        </w:rPr>
      </w:pPr>
      <w:bookmarkStart w:id="33" w:name="_Toc780"/>
      <w:bookmarkStart w:id="34" w:name="_Toc29896"/>
      <w:bookmarkStart w:id="35" w:name="_Toc4532"/>
      <w:r>
        <w:rPr>
          <w:rFonts w:hint="eastAsia"/>
          <w:highlight w:val="none"/>
        </w:rPr>
        <w:t>文化旅游、卫生健康和体育</w:t>
      </w:r>
      <w:bookmarkEnd w:id="33"/>
      <w:bookmarkEnd w:id="34"/>
      <w:bookmarkEnd w:id="35"/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年末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共有文化馆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个，乡镇文化站</w:t>
      </w:r>
      <w:r>
        <w:rPr>
          <w:rFonts w:hint="eastAsia"/>
          <w:highlight w:val="none"/>
          <w:lang w:val="en-US" w:eastAsia="zh-CN"/>
        </w:rPr>
        <w:t>7座，剧团1个，</w:t>
      </w:r>
      <w:r>
        <w:rPr>
          <w:rFonts w:hint="eastAsia"/>
          <w:highlight w:val="none"/>
        </w:rPr>
        <w:t>电影公司</w:t>
      </w:r>
      <w:r>
        <w:rPr>
          <w:rFonts w:hint="eastAsia"/>
          <w:highlight w:val="none"/>
          <w:lang w:val="en-US" w:eastAsia="zh-CN"/>
        </w:rPr>
        <w:t>1个</w:t>
      </w:r>
      <w:r>
        <w:rPr>
          <w:rFonts w:hint="eastAsia"/>
          <w:highlight w:val="none"/>
          <w:lang w:eastAsia="zh-CN"/>
        </w:rPr>
        <w:t>；公共图书馆</w:t>
      </w:r>
      <w:r>
        <w:rPr>
          <w:rFonts w:hint="eastAsia"/>
          <w:highlight w:val="none"/>
          <w:lang w:val="en-US" w:eastAsia="zh-CN"/>
        </w:rPr>
        <w:t>1个，公共图书馆藏书量87677册；</w:t>
      </w:r>
      <w:r>
        <w:rPr>
          <w:rFonts w:hint="eastAsia"/>
          <w:highlight w:val="none"/>
          <w:lang w:eastAsia="zh-CN"/>
        </w:rPr>
        <w:t>乡村群众文艺队伍（文艺小分队）</w:t>
      </w:r>
      <w:r>
        <w:rPr>
          <w:rFonts w:hint="eastAsia"/>
          <w:highlight w:val="none"/>
          <w:lang w:val="en-US" w:eastAsia="zh-CN"/>
        </w:rPr>
        <w:t>56支，开展乡土文化能人艺人工作15次，乡村文化带头人工作38次，免费送戏下乡197次</w:t>
      </w:r>
      <w:r>
        <w:rPr>
          <w:rFonts w:hint="eastAsia"/>
          <w:highlight w:val="none"/>
        </w:rPr>
        <w:t>。年末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共有广播电视台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座。广播人口覆盖率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%，电视人口覆盖率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%</w:t>
      </w:r>
      <w:r>
        <w:rPr>
          <w:rFonts w:hint="eastAsia"/>
          <w:highlight w:val="none"/>
          <w:lang w:eastAsia="zh-CN"/>
        </w:rPr>
        <w:t>，有线电视收视户</w:t>
      </w:r>
      <w:r>
        <w:rPr>
          <w:rFonts w:hint="eastAsia"/>
          <w:highlight w:val="none"/>
          <w:lang w:val="en-US" w:eastAsia="zh-CN"/>
        </w:rPr>
        <w:t>4242户</w:t>
      </w:r>
      <w:r>
        <w:rPr>
          <w:rFonts w:hint="eastAsia"/>
          <w:highlight w:val="none"/>
        </w:rPr>
        <w:t>。</w:t>
      </w:r>
    </w:p>
    <w:p>
      <w:pPr>
        <w:pStyle w:val="2"/>
        <w:rPr>
          <w:rFonts w:hint="default" w:eastAsia="仿宋_GB2312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年末全县共有公共体育场1个，体育馆1个，足球场13个，大小运动场7个，篮球场10个。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年末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共有卫生机构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</w:rPr>
        <w:t>含诊所、村卫生室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  <w:lang w:val="en-US" w:eastAsia="zh-CN"/>
        </w:rPr>
        <w:t>126</w:t>
      </w:r>
      <w:r>
        <w:rPr>
          <w:rFonts w:hint="eastAsia"/>
          <w:highlight w:val="none"/>
        </w:rPr>
        <w:t>家，其中，</w:t>
      </w:r>
      <w:r>
        <w:rPr>
          <w:rFonts w:hint="eastAsia"/>
          <w:highlight w:val="none"/>
          <w:lang w:val="en-US" w:eastAsia="zh-CN"/>
        </w:rPr>
        <w:t>县医院1家，中医院1家，疾控中心1家，卫生监督所1家，</w:t>
      </w:r>
      <w:r>
        <w:rPr>
          <w:rFonts w:hint="eastAsia"/>
          <w:highlight w:val="none"/>
        </w:rPr>
        <w:t>妇幼保健站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家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村卫生所98家，精神病院1家，乡镇卫生院8家</w:t>
      </w:r>
      <w:r>
        <w:rPr>
          <w:rFonts w:hint="eastAsia"/>
          <w:highlight w:val="none"/>
        </w:rPr>
        <w:t>。</w:t>
      </w:r>
      <w:r>
        <w:rPr>
          <w:rFonts w:hint="eastAsia"/>
          <w:highlight w:val="none"/>
          <w:lang w:eastAsia="zh-CN"/>
        </w:rPr>
        <w:t>县</w:t>
      </w:r>
      <w:r>
        <w:rPr>
          <w:rFonts w:hint="eastAsia"/>
          <w:highlight w:val="none"/>
        </w:rPr>
        <w:t>医院床位</w:t>
      </w:r>
      <w:r>
        <w:rPr>
          <w:rFonts w:hint="eastAsia"/>
          <w:highlight w:val="none"/>
          <w:lang w:val="en-US" w:eastAsia="zh-CN"/>
        </w:rPr>
        <w:t>150</w:t>
      </w:r>
      <w:r>
        <w:rPr>
          <w:rFonts w:hint="eastAsia"/>
          <w:highlight w:val="none"/>
        </w:rPr>
        <w:t>张，卫生院床位</w:t>
      </w:r>
      <w:r>
        <w:rPr>
          <w:rFonts w:hint="eastAsia"/>
          <w:highlight w:val="none"/>
          <w:lang w:val="en-US" w:eastAsia="zh-CN"/>
        </w:rPr>
        <w:t>143</w:t>
      </w:r>
      <w:r>
        <w:rPr>
          <w:rFonts w:hint="eastAsia"/>
          <w:highlight w:val="none"/>
        </w:rPr>
        <w:t>张。卫生技术人员</w:t>
      </w:r>
      <w:r>
        <w:rPr>
          <w:rFonts w:hint="eastAsia"/>
          <w:highlight w:val="none"/>
          <w:lang w:val="en-US" w:eastAsia="zh-CN"/>
        </w:rPr>
        <w:t>547</w:t>
      </w:r>
      <w:r>
        <w:rPr>
          <w:rFonts w:hint="eastAsia"/>
          <w:highlight w:val="none"/>
        </w:rPr>
        <w:t>人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其中执业医师189人，执业助理医师283人，注册护士170人，婴儿死亡率1.66%，产妇住院分娩比例99.83%</w:t>
      </w:r>
      <w:r>
        <w:rPr>
          <w:rFonts w:hint="eastAsia"/>
          <w:highlight w:val="none"/>
        </w:rPr>
        <w:t>。</w:t>
      </w:r>
    </w:p>
    <w:p>
      <w:pPr>
        <w:pStyle w:val="5"/>
        <w:bidi w:val="0"/>
        <w:rPr>
          <w:highlight w:val="none"/>
        </w:rPr>
      </w:pPr>
      <w:bookmarkStart w:id="36" w:name="_Toc25219"/>
      <w:bookmarkStart w:id="37" w:name="_Toc13728"/>
      <w:bookmarkStart w:id="38" w:name="_Toc9250"/>
      <w:r>
        <w:rPr>
          <w:rFonts w:hint="eastAsia"/>
          <w:highlight w:val="none"/>
        </w:rPr>
        <w:t>资源、环境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应急管理</w:t>
      </w:r>
      <w:bookmarkEnd w:id="36"/>
      <w:bookmarkEnd w:id="37"/>
      <w:bookmarkEnd w:id="38"/>
      <w:r>
        <w:rPr>
          <w:rFonts w:hint="eastAsia"/>
          <w:highlight w:val="none"/>
          <w:lang w:val="en-US" w:eastAsia="zh-CN"/>
        </w:rPr>
        <w:t>和其他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全县土地面积874.54平方公里，林地面积374.75平方公里。全县煤炭资源地质储量6.37亿吨，铁矿石储量0.07亿吨，石膏矿储量0.1亿吨，铝土矿储量1.5亿吨，硫铁矿储量0.31亿吨。全县</w:t>
      </w:r>
      <w:r>
        <w:rPr>
          <w:rFonts w:hint="eastAsia"/>
          <w:highlight w:val="none"/>
        </w:rPr>
        <w:t>耕地</w:t>
      </w:r>
      <w:r>
        <w:rPr>
          <w:rFonts w:hint="eastAsia"/>
          <w:highlight w:val="none"/>
          <w:lang w:eastAsia="zh-CN"/>
        </w:rPr>
        <w:t>保有</w:t>
      </w:r>
      <w:r>
        <w:rPr>
          <w:rFonts w:hint="eastAsia"/>
          <w:highlight w:val="none"/>
        </w:rPr>
        <w:t>面积28255.93</w:t>
      </w:r>
      <w:r>
        <w:rPr>
          <w:rFonts w:hint="eastAsia"/>
          <w:highlight w:val="none"/>
          <w:lang w:val="en-US" w:eastAsia="zh-CN"/>
        </w:rPr>
        <w:t>公顷，基本农田保护22466.67公顷</w:t>
      </w:r>
      <w:r>
        <w:rPr>
          <w:rFonts w:hint="eastAsia"/>
          <w:highlight w:val="none"/>
        </w:rPr>
        <w:t>。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年末</w:t>
      </w:r>
      <w:r>
        <w:rPr>
          <w:rFonts w:hint="eastAsia"/>
          <w:highlight w:val="none"/>
          <w:lang w:val="en-US" w:eastAsia="zh-CN"/>
        </w:rPr>
        <w:t>全年开工各类水利工程7处</w:t>
      </w:r>
      <w:r>
        <w:rPr>
          <w:rFonts w:hint="eastAsia"/>
          <w:highlight w:val="none"/>
        </w:rPr>
        <w:t>，水利工程投入资金</w:t>
      </w:r>
      <w:r>
        <w:rPr>
          <w:rFonts w:hint="eastAsia"/>
          <w:highlight w:val="none"/>
          <w:lang w:val="en-US" w:eastAsia="zh-CN"/>
        </w:rPr>
        <w:t>16259</w:t>
      </w:r>
      <w:r>
        <w:rPr>
          <w:rFonts w:hint="eastAsia"/>
          <w:highlight w:val="none"/>
        </w:rPr>
        <w:t>万元</w:t>
      </w:r>
      <w:r>
        <w:rPr>
          <w:rFonts w:hint="eastAsia"/>
          <w:highlight w:val="none"/>
          <w:lang w:eastAsia="zh-CN"/>
        </w:rPr>
        <w:t>，水利工程完成土石方1485200</w:t>
      </w:r>
      <w:r>
        <w:rPr>
          <w:rFonts w:hint="eastAsia"/>
          <w:highlight w:val="none"/>
          <w:lang w:val="en-US" w:eastAsia="zh-CN"/>
        </w:rPr>
        <w:t>立方米</w:t>
      </w:r>
      <w:r>
        <w:rPr>
          <w:rFonts w:hint="eastAsia"/>
          <w:highlight w:val="none"/>
        </w:rPr>
        <w:t>。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森林面积</w:t>
      </w:r>
      <w:r>
        <w:rPr>
          <w:rFonts w:hint="eastAsia"/>
          <w:highlight w:val="none"/>
          <w:lang w:val="en-US" w:eastAsia="zh-CN"/>
        </w:rPr>
        <w:t>15377公顷</w:t>
      </w:r>
      <w:r>
        <w:rPr>
          <w:rFonts w:hint="eastAsia"/>
          <w:highlight w:val="none"/>
        </w:rPr>
        <w:t>，森林覆盖率</w:t>
      </w:r>
      <w:r>
        <w:rPr>
          <w:rFonts w:hint="eastAsia"/>
          <w:highlight w:val="none"/>
          <w:lang w:val="en-US" w:eastAsia="zh-CN"/>
        </w:rPr>
        <w:t>17.58</w:t>
      </w:r>
      <w:r>
        <w:rPr>
          <w:rFonts w:hint="eastAsia"/>
          <w:highlight w:val="none"/>
        </w:rPr>
        <w:t>%；全县活立木蓄积896720立方米。</w:t>
      </w:r>
    </w:p>
    <w:p>
      <w:pPr>
        <w:pStyle w:val="2"/>
        <w:rPr>
          <w:rFonts w:hint="default" w:eastAsia="仿宋_GB2312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年末</w:t>
      </w:r>
      <w:r>
        <w:rPr>
          <w:rFonts w:hint="eastAsia"/>
          <w:highlight w:val="none"/>
        </w:rPr>
        <w:t>县区绿化覆盖率</w:t>
      </w:r>
      <w:r>
        <w:rPr>
          <w:rFonts w:hint="eastAsia"/>
          <w:highlight w:val="none"/>
          <w:lang w:val="en-US" w:eastAsia="zh-CN"/>
        </w:rPr>
        <w:t>17.66</w:t>
      </w:r>
      <w:r>
        <w:rPr>
          <w:rFonts w:hint="eastAsia"/>
          <w:highlight w:val="none"/>
        </w:rPr>
        <w:t>%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全年新增绿化面积2.9万平方米，</w:t>
      </w:r>
      <w:r>
        <w:rPr>
          <w:rFonts w:hint="eastAsia"/>
          <w:highlight w:val="none"/>
          <w:lang w:eastAsia="zh-CN"/>
        </w:rPr>
        <w:t>建成区绿化面积</w:t>
      </w:r>
      <w:r>
        <w:rPr>
          <w:rFonts w:hint="eastAsia"/>
          <w:highlight w:val="none"/>
          <w:lang w:val="en-US" w:eastAsia="zh-CN"/>
        </w:rPr>
        <w:t>93.94</w:t>
      </w:r>
      <w:r>
        <w:rPr>
          <w:rFonts w:hint="eastAsia"/>
          <w:highlight w:val="none"/>
          <w:lang w:eastAsia="zh-CN"/>
        </w:rPr>
        <w:t>万平方米。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  <w:lang w:eastAsia="zh-CN"/>
        </w:rPr>
        <w:t>供气管道长度</w:t>
      </w:r>
      <w:r>
        <w:rPr>
          <w:rFonts w:hint="eastAsia"/>
          <w:highlight w:val="none"/>
          <w:lang w:val="en-US" w:eastAsia="zh-CN"/>
        </w:rPr>
        <w:t>50.2公里，液化石油气供气总量347吨，管道燃气用户1887户，液化石油气用户7552户。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全年</w:t>
      </w:r>
      <w:r>
        <w:rPr>
          <w:rFonts w:hint="eastAsia"/>
          <w:highlight w:val="none"/>
          <w:lang w:val="en-US" w:eastAsia="zh-CN"/>
        </w:rPr>
        <w:t>环境综合指数3.74，</w:t>
      </w:r>
      <w:r>
        <w:rPr>
          <w:rFonts w:hint="eastAsia"/>
          <w:highlight w:val="none"/>
        </w:rPr>
        <w:t>空气质量</w:t>
      </w:r>
      <w:r>
        <w:rPr>
          <w:rFonts w:hint="eastAsia"/>
          <w:highlight w:val="none"/>
          <w:lang w:val="en-US" w:eastAsia="zh-CN"/>
        </w:rPr>
        <w:t>二级以上优良天数269天，</w:t>
      </w:r>
      <w:r>
        <w:rPr>
          <w:rFonts w:hint="eastAsia"/>
          <w:highlight w:val="none"/>
        </w:rPr>
        <w:t>PM2.5浓度均值为</w:t>
      </w:r>
      <w:r>
        <w:rPr>
          <w:rFonts w:hint="eastAsia"/>
          <w:highlight w:val="none"/>
          <w:lang w:val="en-US" w:eastAsia="zh-CN"/>
        </w:rPr>
        <w:t>32</w:t>
      </w:r>
      <w:r>
        <w:rPr>
          <w:rFonts w:hint="eastAsia"/>
          <w:highlight w:val="none"/>
        </w:rPr>
        <w:t>微克/立方米</w:t>
      </w:r>
      <w:r>
        <w:rPr>
          <w:rFonts w:hint="eastAsia"/>
          <w:highlight w:val="none"/>
          <w:lang w:eastAsia="zh-CN"/>
        </w:rPr>
        <w:t>，PM10</w:t>
      </w:r>
      <w:r>
        <w:rPr>
          <w:rFonts w:hint="eastAsia"/>
          <w:highlight w:val="none"/>
        </w:rPr>
        <w:t>浓度均值为</w:t>
      </w:r>
      <w:r>
        <w:rPr>
          <w:rFonts w:hint="eastAsia"/>
          <w:highlight w:val="none"/>
          <w:lang w:val="en-US" w:eastAsia="zh-CN"/>
        </w:rPr>
        <w:t>58</w:t>
      </w:r>
      <w:r>
        <w:rPr>
          <w:rFonts w:hint="eastAsia"/>
          <w:highlight w:val="none"/>
        </w:rPr>
        <w:t>微克/立方米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二氧化硫浓度均值为</w:t>
      </w:r>
      <w:r>
        <w:rPr>
          <w:rFonts w:hint="eastAsia"/>
          <w:highlight w:val="none"/>
          <w:lang w:val="en-US" w:eastAsia="zh-CN"/>
        </w:rPr>
        <w:t>11</w:t>
      </w:r>
      <w:r>
        <w:rPr>
          <w:rFonts w:hint="eastAsia"/>
          <w:highlight w:val="none"/>
        </w:rPr>
        <w:t>微克/立方米</w:t>
      </w:r>
      <w:r>
        <w:rPr>
          <w:rFonts w:hint="eastAsia"/>
          <w:highlight w:val="none"/>
          <w:lang w:eastAsia="zh-CN"/>
        </w:rPr>
        <w:t>，二氧化氮</w:t>
      </w:r>
      <w:r>
        <w:rPr>
          <w:rFonts w:hint="eastAsia"/>
          <w:highlight w:val="none"/>
        </w:rPr>
        <w:t>浓度均值为</w:t>
      </w:r>
      <w:r>
        <w:rPr>
          <w:rFonts w:hint="eastAsia"/>
          <w:highlight w:val="none"/>
          <w:lang w:val="en-US" w:eastAsia="zh-CN"/>
        </w:rPr>
        <w:t>17</w:t>
      </w:r>
      <w:r>
        <w:rPr>
          <w:rFonts w:hint="eastAsia"/>
          <w:highlight w:val="none"/>
        </w:rPr>
        <w:t>微克/立方米</w:t>
      </w:r>
      <w:r>
        <w:rPr>
          <w:rFonts w:hint="eastAsia"/>
          <w:highlight w:val="none"/>
          <w:lang w:eastAsia="zh-CN"/>
        </w:rPr>
        <w:t>，一氧化碳</w:t>
      </w:r>
      <w:r>
        <w:rPr>
          <w:rFonts w:hint="eastAsia"/>
          <w:highlight w:val="none"/>
        </w:rPr>
        <w:t>浓度均值为</w:t>
      </w:r>
      <w:r>
        <w:rPr>
          <w:rFonts w:hint="eastAsia"/>
          <w:highlight w:val="none"/>
          <w:lang w:val="en-US" w:eastAsia="zh-CN"/>
        </w:rPr>
        <w:t>1.3</w:t>
      </w:r>
      <w:r>
        <w:rPr>
          <w:rFonts w:hint="eastAsia"/>
          <w:highlight w:val="none"/>
        </w:rPr>
        <w:t>微克/立方米。</w:t>
      </w:r>
    </w:p>
    <w:p>
      <w:pPr>
        <w:pStyle w:val="2"/>
        <w:rPr>
          <w:rFonts w:hint="default" w:eastAsia="仿宋_GB2312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全县污水处理厂1家，全年工业废水排放量145000吨，工业废水处理量145000吨，城市污水处理率100%。</w:t>
      </w:r>
    </w:p>
    <w:p>
      <w:pPr>
        <w:bidi w:val="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</w:rPr>
        <w:t>全年</w:t>
      </w:r>
      <w:r>
        <w:rPr>
          <w:rFonts w:hint="eastAsia"/>
          <w:highlight w:val="none"/>
          <w:lang w:val="en-US" w:eastAsia="zh-CN"/>
        </w:rPr>
        <w:t>全县启动应急响应1次，</w:t>
      </w:r>
      <w:r>
        <w:rPr>
          <w:rFonts w:hint="eastAsia"/>
          <w:highlight w:val="none"/>
        </w:rPr>
        <w:t>发生</w:t>
      </w:r>
      <w:r>
        <w:rPr>
          <w:rFonts w:hint="eastAsia"/>
          <w:highlight w:val="none"/>
          <w:lang w:val="en-US" w:eastAsia="zh-CN"/>
        </w:rPr>
        <w:t>1起生产</w:t>
      </w:r>
      <w:r>
        <w:rPr>
          <w:rFonts w:hint="eastAsia"/>
          <w:highlight w:val="none"/>
        </w:rPr>
        <w:t>经营性安全事故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死亡1人</w:t>
      </w:r>
      <w:r>
        <w:rPr>
          <w:rFonts w:hint="eastAsia"/>
          <w:highlight w:val="none"/>
          <w:lang w:eastAsia="zh-CN"/>
        </w:rPr>
        <w:t>。</w:t>
      </w:r>
    </w:p>
    <w:p>
      <w:pPr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年末民用汽车</w:t>
      </w:r>
      <w:r>
        <w:rPr>
          <w:rFonts w:hint="eastAsia"/>
          <w:highlight w:val="none"/>
          <w:lang w:eastAsia="zh-CN"/>
        </w:rPr>
        <w:t>保有量</w:t>
      </w:r>
      <w:r>
        <w:rPr>
          <w:rFonts w:hint="eastAsia"/>
          <w:highlight w:val="none"/>
          <w:lang w:val="en-US" w:eastAsia="zh-CN"/>
        </w:rPr>
        <w:t>15691</w:t>
      </w:r>
      <w:r>
        <w:rPr>
          <w:rFonts w:hint="eastAsia"/>
          <w:highlight w:val="none"/>
        </w:rPr>
        <w:t>辆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其中</w:t>
      </w:r>
      <w:r>
        <w:rPr>
          <w:rFonts w:hint="eastAsia"/>
          <w:highlight w:val="none"/>
          <w:lang w:eastAsia="zh-CN"/>
        </w:rPr>
        <w:t>本年新注册汽车</w:t>
      </w:r>
      <w:r>
        <w:rPr>
          <w:rFonts w:hint="eastAsia"/>
          <w:highlight w:val="none"/>
          <w:lang w:val="en-US" w:eastAsia="zh-CN"/>
        </w:rPr>
        <w:t>208</w:t>
      </w:r>
      <w:r>
        <w:rPr>
          <w:rFonts w:hint="eastAsia"/>
          <w:highlight w:val="none"/>
          <w:lang w:eastAsia="zh-CN"/>
        </w:rPr>
        <w:t>辆，本年新注册新能源汽车2</w:t>
      </w:r>
      <w:r>
        <w:rPr>
          <w:rFonts w:hint="eastAsia"/>
          <w:highlight w:val="none"/>
          <w:lang w:val="en-US" w:eastAsia="zh-CN"/>
        </w:rPr>
        <w:t>8</w:t>
      </w:r>
      <w:r>
        <w:rPr>
          <w:rFonts w:hint="eastAsia"/>
          <w:highlight w:val="none"/>
          <w:lang w:eastAsia="zh-CN"/>
        </w:rPr>
        <w:t>辆，全年共发生道路交通事故</w:t>
      </w:r>
      <w:r>
        <w:rPr>
          <w:rFonts w:hint="eastAsia"/>
          <w:highlight w:val="none"/>
          <w:lang w:val="en-US" w:eastAsia="zh-CN"/>
        </w:rPr>
        <w:t>516</w:t>
      </w:r>
      <w:r>
        <w:rPr>
          <w:rFonts w:hint="eastAsia"/>
          <w:highlight w:val="none"/>
          <w:lang w:eastAsia="zh-CN"/>
        </w:rPr>
        <w:t>起，</w:t>
      </w:r>
      <w:r>
        <w:rPr>
          <w:rFonts w:hint="eastAsia"/>
          <w:highlight w:val="none"/>
        </w:rPr>
        <w:t>全年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道路交通死亡率</w:t>
      </w:r>
      <w:r>
        <w:rPr>
          <w:rFonts w:hint="eastAsia"/>
          <w:highlight w:val="none"/>
          <w:lang w:val="en-US" w:eastAsia="zh-CN"/>
        </w:rPr>
        <w:t>3.68</w:t>
      </w:r>
      <w:r>
        <w:rPr>
          <w:rFonts w:hint="eastAsia"/>
          <w:highlight w:val="none"/>
        </w:rPr>
        <w:t>人/万辆</w:t>
      </w:r>
      <w:r>
        <w:rPr>
          <w:rFonts w:hint="eastAsia"/>
          <w:highlight w:val="none"/>
          <w:lang w:val="en-US" w:eastAsia="zh-CN"/>
        </w:rPr>
        <w:t>。</w:t>
      </w:r>
    </w:p>
    <w:p>
      <w:pPr>
        <w:pStyle w:val="2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2023年，</w:t>
      </w:r>
      <w:r>
        <w:rPr>
          <w:rFonts w:hint="eastAsia"/>
          <w:highlight w:val="none"/>
        </w:rPr>
        <w:t>全县民事案件立案数</w:t>
      </w:r>
      <w:r>
        <w:rPr>
          <w:rFonts w:hint="eastAsia"/>
          <w:highlight w:val="none"/>
          <w:lang w:val="en-US" w:eastAsia="zh-CN"/>
        </w:rPr>
        <w:t>613件，全县刑事案件立案数73件，全县其他案件立案数2件。</w:t>
      </w:r>
      <w:r>
        <w:rPr>
          <w:rFonts w:hint="eastAsia"/>
          <w:highlight w:val="none"/>
        </w:rPr>
        <w:t>全县犯罪人数合计</w:t>
      </w:r>
      <w:r>
        <w:rPr>
          <w:rFonts w:hint="eastAsia"/>
          <w:highlight w:val="none"/>
          <w:lang w:val="en-US" w:eastAsia="zh-CN"/>
        </w:rPr>
        <w:t>104人，其中全县青少年犯罪人数合计16人（年龄25周岁及以下）。</w:t>
      </w:r>
    </w:p>
    <w:p>
      <w:pPr>
        <w:pStyle w:val="2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2023年，全县处理信访案件数量722件。2013年—2023年累计信访案件数量3528件。</w:t>
      </w:r>
    </w:p>
    <w:p>
      <w:pPr>
        <w:rPr>
          <w:rFonts w:hint="eastAsia"/>
          <w:highlight w:val="none"/>
        </w:rPr>
      </w:pPr>
      <w:bookmarkStart w:id="39" w:name="_Toc27714"/>
      <w:bookmarkStart w:id="40" w:name="_Toc15537"/>
      <w:bookmarkStart w:id="41" w:name="_Toc19544"/>
      <w:r>
        <w:rPr>
          <w:rFonts w:hint="eastAsia"/>
          <w:highlight w:val="none"/>
        </w:rPr>
        <w:br w:type="page"/>
      </w:r>
    </w:p>
    <w:p>
      <w:pPr>
        <w:bidi w:val="0"/>
        <w:rPr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公报注释：</w:t>
      </w:r>
      <w:bookmarkEnd w:id="39"/>
      <w:bookmarkEnd w:id="40"/>
      <w:bookmarkEnd w:id="41"/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[1]本公报部分数据为初步统计数据，除注明外，所有增长或下降均为同上年相比较。部分数据因四舍五入的原因，存在与分项合计不等的情况。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[2]本公报部分数据由相关部门提供。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[3]地区生产总值、各产业增加值绝对数按现价计算，增长速度按不变价格计算。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[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]两年平均增速是指以20</w:t>
      </w:r>
      <w:r>
        <w:rPr>
          <w:rFonts w:hint="eastAsia"/>
          <w:highlight w:val="none"/>
          <w:lang w:val="en-US" w:eastAsia="zh-CN"/>
        </w:rPr>
        <w:t>21</w:t>
      </w:r>
      <w:r>
        <w:rPr>
          <w:rFonts w:hint="eastAsia"/>
          <w:highlight w:val="none"/>
        </w:rPr>
        <w:t>年同期数为基数，采用几何平均的方法计算的增速。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[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]生产经营性安全事故起数和死亡人数不含高速公路事故。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[6]2022年7月起，实际使用外资金额使用</w:t>
      </w:r>
      <w:r>
        <w:rPr>
          <w:rFonts w:hint="eastAsia"/>
          <w:highlight w:val="none"/>
          <w:lang w:val="en-US" w:eastAsia="zh-CN"/>
        </w:rPr>
        <w:t>工信</w:t>
      </w:r>
      <w:r>
        <w:rPr>
          <w:rFonts w:hint="eastAsia"/>
          <w:highlight w:val="none"/>
        </w:rPr>
        <w:t>部口径数据。</w:t>
      </w:r>
    </w:p>
    <w:p>
      <w:pPr>
        <w:pStyle w:val="2"/>
        <w:rPr>
          <w:rFonts w:hint="eastAsia"/>
          <w:highlight w:val="none"/>
        </w:rPr>
      </w:pPr>
      <w:r>
        <w:rPr>
          <w:rFonts w:hint="eastAsia"/>
          <w:highlight w:val="none"/>
        </w:rPr>
        <w:t>[</w:t>
      </w: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]民间固定资产投资是指具有集体、私营、个人性质的内资企事业单位以及由其控股（包括绝对控股和相对控股）的企业单位建造或购置固定资产的投资。</w:t>
      </w:r>
    </w:p>
    <w:p>
      <w:pPr>
        <w:pStyle w:val="2"/>
        <w:rPr>
          <w:rFonts w:hint="eastAsia"/>
          <w:highlight w:val="none"/>
        </w:rPr>
      </w:pPr>
      <w:r>
        <w:rPr>
          <w:rFonts w:hint="eastAsia"/>
          <w:highlight w:val="none"/>
        </w:rPr>
        <w:t>[</w:t>
      </w:r>
      <w:r>
        <w:rPr>
          <w:rFonts w:hint="eastAsia"/>
          <w:highlight w:val="none"/>
          <w:lang w:val="en-US" w:eastAsia="zh-CN"/>
        </w:rPr>
        <w:t>8</w:t>
      </w:r>
      <w:r>
        <w:rPr>
          <w:rFonts w:hint="eastAsia"/>
          <w:highlight w:val="none"/>
        </w:rPr>
        <w:t>]房地产业投资除房地产开发投资外，还包括建设单位自建房屋以及物业管理、中介服务和其他房地产投资。</w:t>
      </w:r>
    </w:p>
    <w:p>
      <w:pPr>
        <w:pStyle w:val="2"/>
        <w:rPr>
          <w:rFonts w:hint="eastAsia"/>
          <w:highlight w:val="none"/>
        </w:rPr>
      </w:pPr>
      <w:r>
        <w:rPr>
          <w:rFonts w:hint="eastAsia"/>
          <w:highlight w:val="none"/>
        </w:rPr>
        <w:t>[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]原保险保费收入是指保险企业确认的原保险合同保费收入。</w:t>
      </w:r>
    </w:p>
    <w:p>
      <w:pPr>
        <w:pStyle w:val="2"/>
        <w:rPr>
          <w:rFonts w:hint="eastAsia"/>
          <w:highlight w:val="none"/>
        </w:rPr>
      </w:pPr>
      <w:r>
        <w:rPr>
          <w:rFonts w:hint="eastAsia"/>
          <w:highlight w:val="none"/>
        </w:rPr>
        <w:t>[</w:t>
      </w:r>
      <w:r>
        <w:rPr>
          <w:rFonts w:hint="eastAsia"/>
          <w:highlight w:val="none"/>
          <w:lang w:val="en-US" w:eastAsia="zh-CN"/>
        </w:rPr>
        <w:t>10</w:t>
      </w:r>
      <w:r>
        <w:rPr>
          <w:rFonts w:hint="eastAsia"/>
          <w:highlight w:val="none"/>
        </w:rPr>
        <w:t>]中等职业教育包括普通中专、成人中专、职业高中和技工学校。</w:t>
      </w:r>
    </w:p>
    <w:p>
      <w:pPr>
        <w:pStyle w:val="2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</w:rPr>
        <w:t>[</w:t>
      </w:r>
      <w:r>
        <w:rPr>
          <w:rFonts w:hint="eastAsia"/>
          <w:highlight w:val="none"/>
          <w:lang w:val="en-US" w:eastAsia="zh-CN"/>
        </w:rPr>
        <w:t>11</w:t>
      </w:r>
      <w:r>
        <w:rPr>
          <w:rFonts w:hint="eastAsia"/>
          <w:highlight w:val="none"/>
        </w:rPr>
        <w:t>]除注明外，本公报所列增加、增长、减少、下降均系与上年比较。</w:t>
      </w:r>
    </w:p>
    <w:sectPr>
      <w:footerReference r:id="rId5" w:type="default"/>
      <w:pgSz w:w="11905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45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E0EB0BF-B3CB-4D4A-B18B-20233CF5E3E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B0DBE25-367D-4565-9D3B-CBF3F92332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640"/>
      </w:pPr>
      <w:r>
        <w:separator/>
      </w:r>
    </w:p>
  </w:footnote>
  <w:footnote w:type="continuationSeparator" w:id="1">
    <w:p>
      <w:pPr>
        <w:spacing w:line="288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08DB4"/>
    <w:multiLevelType w:val="multilevel"/>
    <w:tmpl w:val="89008DB4"/>
    <w:lvl w:ilvl="0" w:tentative="0">
      <w:start w:val="0"/>
      <w:numFmt w:val="chineseCounting"/>
      <w:pStyle w:val="3"/>
      <w:suff w:val="nothing"/>
      <w:lvlText w:val="%1、"/>
      <w:lvlJc w:val="center"/>
      <w:pPr>
        <w:tabs>
          <w:tab w:val="left" w:pos="0"/>
        </w:tabs>
        <w:ind w:left="0" w:firstLine="420"/>
      </w:pPr>
      <w:rPr>
        <w:rFonts w:hint="eastAsia" w:ascii="Times New Roman" w:hAnsi="Times New Roman" w:eastAsia="方正小标宋简体" w:cs="宋体"/>
        <w:sz w:val="44"/>
        <w:szCs w:val="24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420"/>
      </w:pPr>
      <w:rPr>
        <w:rFonts w:hint="eastAsia" w:ascii="Times New Roman" w:hAnsi="Times New Roman" w:eastAsia="楷体" w:cs="宋体"/>
        <w:b/>
        <w:bCs/>
        <w:sz w:val="32"/>
        <w:szCs w:val="24"/>
      </w:rPr>
    </w:lvl>
    <w:lvl w:ilvl="2" w:tentative="0">
      <w:start w:val="1"/>
      <w:numFmt w:val="chineseCounting"/>
      <w:pStyle w:val="5"/>
      <w:suff w:val="nothing"/>
      <w:lvlText w:val="%3、"/>
      <w:lvlJc w:val="left"/>
      <w:pPr>
        <w:tabs>
          <w:tab w:val="left" w:pos="0"/>
        </w:tabs>
        <w:ind w:left="0" w:firstLine="420"/>
      </w:pPr>
      <w:rPr>
        <w:rFonts w:hint="eastAsia" w:ascii="Times New Roman" w:hAnsi="Times New Roman" w:eastAsia="黑体" w:cs="宋体"/>
        <w:sz w:val="32"/>
        <w:szCs w:val="32"/>
      </w:rPr>
    </w:lvl>
    <w:lvl w:ilvl="3" w:tentative="0">
      <w:start w:val="1"/>
      <w:numFmt w:val="decimal"/>
      <w:lvlRestart w:val="2"/>
      <w:pStyle w:val="6"/>
      <w:suff w:val="nothing"/>
      <w:lvlText w:val="图%4 "/>
      <w:lvlJc w:val="left"/>
      <w:pPr>
        <w:tabs>
          <w:tab w:val="left" w:pos="0"/>
        </w:tabs>
        <w:ind w:left="0" w:firstLine="420"/>
      </w:pPr>
      <w:rPr>
        <w:rFonts w:hint="eastAsia" w:ascii="Times New Roman" w:hAnsi="Times New Roman" w:eastAsia="宋体" w:cs="宋体"/>
        <w:sz w:val="24"/>
        <w:szCs w:val="24"/>
      </w:rPr>
    </w:lvl>
    <w:lvl w:ilvl="4" w:tentative="0">
      <w:start w:val="1"/>
      <w:numFmt w:val="decimal"/>
      <w:lvlRestart w:val="2"/>
      <w:pStyle w:val="7"/>
      <w:suff w:val="nothing"/>
      <w:lvlText w:val="表%5 "/>
      <w:lvlJc w:val="left"/>
      <w:pPr>
        <w:tabs>
          <w:tab w:val="left" w:pos="0"/>
        </w:tabs>
        <w:ind w:left="0" w:firstLine="402"/>
      </w:pPr>
      <w:rPr>
        <w:rFonts w:hint="eastAsia" w:ascii="Times New Roman" w:hAnsi="Times New Roman" w:eastAsia="宋体" w:cs="宋体"/>
        <w:sz w:val="24"/>
        <w:szCs w:val="24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22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YmJlYjdjZmJlNzA1Zjg3MjE5NGFjMmM3MDU5ZjYifQ=="/>
  </w:docVars>
  <w:rsids>
    <w:rsidRoot w:val="07B75E29"/>
    <w:rsid w:val="000930E8"/>
    <w:rsid w:val="002A7FD1"/>
    <w:rsid w:val="00355568"/>
    <w:rsid w:val="003B3039"/>
    <w:rsid w:val="004046ED"/>
    <w:rsid w:val="00494247"/>
    <w:rsid w:val="004E4FDD"/>
    <w:rsid w:val="005B020B"/>
    <w:rsid w:val="00C47441"/>
    <w:rsid w:val="00E673D4"/>
    <w:rsid w:val="00E86B50"/>
    <w:rsid w:val="00FF4889"/>
    <w:rsid w:val="010E36BE"/>
    <w:rsid w:val="011078C7"/>
    <w:rsid w:val="0119677B"/>
    <w:rsid w:val="01260E98"/>
    <w:rsid w:val="016525A3"/>
    <w:rsid w:val="01B56D4F"/>
    <w:rsid w:val="022073D6"/>
    <w:rsid w:val="023C38E7"/>
    <w:rsid w:val="025C1016"/>
    <w:rsid w:val="031E276F"/>
    <w:rsid w:val="032D4760"/>
    <w:rsid w:val="03386F9E"/>
    <w:rsid w:val="0361440A"/>
    <w:rsid w:val="038043BC"/>
    <w:rsid w:val="039842CF"/>
    <w:rsid w:val="039C2E0F"/>
    <w:rsid w:val="039D18E6"/>
    <w:rsid w:val="03D746CC"/>
    <w:rsid w:val="03DB240E"/>
    <w:rsid w:val="03EC461B"/>
    <w:rsid w:val="03F053EA"/>
    <w:rsid w:val="0402235D"/>
    <w:rsid w:val="04043D22"/>
    <w:rsid w:val="04070EBF"/>
    <w:rsid w:val="049A7BD3"/>
    <w:rsid w:val="04A53654"/>
    <w:rsid w:val="04BD39D8"/>
    <w:rsid w:val="0508221C"/>
    <w:rsid w:val="051A15A8"/>
    <w:rsid w:val="05230EF2"/>
    <w:rsid w:val="05317E44"/>
    <w:rsid w:val="054514D8"/>
    <w:rsid w:val="055B3C0F"/>
    <w:rsid w:val="059D4972"/>
    <w:rsid w:val="05AA0216"/>
    <w:rsid w:val="05BD5885"/>
    <w:rsid w:val="05BE6CDA"/>
    <w:rsid w:val="063E15DE"/>
    <w:rsid w:val="064222D0"/>
    <w:rsid w:val="06680012"/>
    <w:rsid w:val="06B86A37"/>
    <w:rsid w:val="06C76C7A"/>
    <w:rsid w:val="06E415DA"/>
    <w:rsid w:val="06EE7E91"/>
    <w:rsid w:val="06FA2BAB"/>
    <w:rsid w:val="074227AB"/>
    <w:rsid w:val="074277D3"/>
    <w:rsid w:val="075309AC"/>
    <w:rsid w:val="075904BA"/>
    <w:rsid w:val="077F7794"/>
    <w:rsid w:val="07827A92"/>
    <w:rsid w:val="079271F5"/>
    <w:rsid w:val="07B53DB1"/>
    <w:rsid w:val="07B75E29"/>
    <w:rsid w:val="07ED2710"/>
    <w:rsid w:val="07F127A9"/>
    <w:rsid w:val="07F7358F"/>
    <w:rsid w:val="081952B3"/>
    <w:rsid w:val="08212121"/>
    <w:rsid w:val="08341CBE"/>
    <w:rsid w:val="08393BA7"/>
    <w:rsid w:val="084542FA"/>
    <w:rsid w:val="08581A70"/>
    <w:rsid w:val="086D6FE9"/>
    <w:rsid w:val="08820F68"/>
    <w:rsid w:val="08BA1793"/>
    <w:rsid w:val="08D75A21"/>
    <w:rsid w:val="09154400"/>
    <w:rsid w:val="091649E3"/>
    <w:rsid w:val="09684744"/>
    <w:rsid w:val="097F1A8E"/>
    <w:rsid w:val="09802D13"/>
    <w:rsid w:val="099C43EE"/>
    <w:rsid w:val="09A277C1"/>
    <w:rsid w:val="09B950A9"/>
    <w:rsid w:val="09BA51F2"/>
    <w:rsid w:val="09DF68E3"/>
    <w:rsid w:val="09ED18B2"/>
    <w:rsid w:val="0A4F2E9A"/>
    <w:rsid w:val="0A50699F"/>
    <w:rsid w:val="0AA109E1"/>
    <w:rsid w:val="0AA23C86"/>
    <w:rsid w:val="0AC46E03"/>
    <w:rsid w:val="0ACA3822"/>
    <w:rsid w:val="0B316DB7"/>
    <w:rsid w:val="0B36301C"/>
    <w:rsid w:val="0B364F5A"/>
    <w:rsid w:val="0B6B22C9"/>
    <w:rsid w:val="0B707256"/>
    <w:rsid w:val="0B750D9E"/>
    <w:rsid w:val="0B776EC0"/>
    <w:rsid w:val="0B8D3BCD"/>
    <w:rsid w:val="0B945BD4"/>
    <w:rsid w:val="0B971310"/>
    <w:rsid w:val="0BA064F9"/>
    <w:rsid w:val="0BAA59C1"/>
    <w:rsid w:val="0BBB6441"/>
    <w:rsid w:val="0BC22AFC"/>
    <w:rsid w:val="0BC546F2"/>
    <w:rsid w:val="0BDE121C"/>
    <w:rsid w:val="0C053FB4"/>
    <w:rsid w:val="0C201306"/>
    <w:rsid w:val="0C52306D"/>
    <w:rsid w:val="0C663659"/>
    <w:rsid w:val="0C7952FB"/>
    <w:rsid w:val="0CBD0134"/>
    <w:rsid w:val="0D1129FD"/>
    <w:rsid w:val="0D174A35"/>
    <w:rsid w:val="0D3462AE"/>
    <w:rsid w:val="0D7B11F5"/>
    <w:rsid w:val="0D9D7D97"/>
    <w:rsid w:val="0E1127EA"/>
    <w:rsid w:val="0E1E0ACC"/>
    <w:rsid w:val="0E2A021A"/>
    <w:rsid w:val="0E4617CA"/>
    <w:rsid w:val="0E76027A"/>
    <w:rsid w:val="0E7616B1"/>
    <w:rsid w:val="0E956442"/>
    <w:rsid w:val="0E997665"/>
    <w:rsid w:val="0ECE3CAC"/>
    <w:rsid w:val="0ED96308"/>
    <w:rsid w:val="0F593D02"/>
    <w:rsid w:val="0FAA3873"/>
    <w:rsid w:val="0FAB1E11"/>
    <w:rsid w:val="0FAD5F50"/>
    <w:rsid w:val="0FB07EA3"/>
    <w:rsid w:val="101C4FBF"/>
    <w:rsid w:val="1024646A"/>
    <w:rsid w:val="10291196"/>
    <w:rsid w:val="106734E1"/>
    <w:rsid w:val="106A7FAF"/>
    <w:rsid w:val="108A31F2"/>
    <w:rsid w:val="108F6A5A"/>
    <w:rsid w:val="10AC6DD7"/>
    <w:rsid w:val="10DC4D6D"/>
    <w:rsid w:val="10DE0FCA"/>
    <w:rsid w:val="11072A94"/>
    <w:rsid w:val="1153261A"/>
    <w:rsid w:val="115E01DA"/>
    <w:rsid w:val="115E4E60"/>
    <w:rsid w:val="11806587"/>
    <w:rsid w:val="11836D1C"/>
    <w:rsid w:val="118539B9"/>
    <w:rsid w:val="11F97D12"/>
    <w:rsid w:val="12096C08"/>
    <w:rsid w:val="123B5C73"/>
    <w:rsid w:val="126B2661"/>
    <w:rsid w:val="1279351E"/>
    <w:rsid w:val="128E2CE0"/>
    <w:rsid w:val="129739A4"/>
    <w:rsid w:val="12B23088"/>
    <w:rsid w:val="12B51CF0"/>
    <w:rsid w:val="12D062B0"/>
    <w:rsid w:val="12EA7F82"/>
    <w:rsid w:val="134E39BD"/>
    <w:rsid w:val="13836ECA"/>
    <w:rsid w:val="13873A19"/>
    <w:rsid w:val="139C71E2"/>
    <w:rsid w:val="13D529D6"/>
    <w:rsid w:val="13E23345"/>
    <w:rsid w:val="13ED749E"/>
    <w:rsid w:val="13F54E26"/>
    <w:rsid w:val="140005B3"/>
    <w:rsid w:val="142E20E6"/>
    <w:rsid w:val="147A17CF"/>
    <w:rsid w:val="149E4982"/>
    <w:rsid w:val="14A2372C"/>
    <w:rsid w:val="14B166C3"/>
    <w:rsid w:val="14D3386D"/>
    <w:rsid w:val="14F000F9"/>
    <w:rsid w:val="1525798D"/>
    <w:rsid w:val="153100E0"/>
    <w:rsid w:val="15542020"/>
    <w:rsid w:val="155E138C"/>
    <w:rsid w:val="1579432B"/>
    <w:rsid w:val="159602CB"/>
    <w:rsid w:val="15A56366"/>
    <w:rsid w:val="15C01464"/>
    <w:rsid w:val="15F221E6"/>
    <w:rsid w:val="1629594C"/>
    <w:rsid w:val="162B49E7"/>
    <w:rsid w:val="163F0FD6"/>
    <w:rsid w:val="1642631D"/>
    <w:rsid w:val="16AD3796"/>
    <w:rsid w:val="16CB6312"/>
    <w:rsid w:val="16D004C4"/>
    <w:rsid w:val="17076329"/>
    <w:rsid w:val="17141991"/>
    <w:rsid w:val="17255A22"/>
    <w:rsid w:val="173B7BC5"/>
    <w:rsid w:val="17E92EF4"/>
    <w:rsid w:val="18024339"/>
    <w:rsid w:val="18067B9A"/>
    <w:rsid w:val="181D23FB"/>
    <w:rsid w:val="18374130"/>
    <w:rsid w:val="18471533"/>
    <w:rsid w:val="185D11EC"/>
    <w:rsid w:val="18880E4C"/>
    <w:rsid w:val="18AB63FB"/>
    <w:rsid w:val="19042BBC"/>
    <w:rsid w:val="19087FF5"/>
    <w:rsid w:val="190A1374"/>
    <w:rsid w:val="19145D4E"/>
    <w:rsid w:val="19245C56"/>
    <w:rsid w:val="19324427"/>
    <w:rsid w:val="193E58CF"/>
    <w:rsid w:val="195808C6"/>
    <w:rsid w:val="195814B5"/>
    <w:rsid w:val="198D0D66"/>
    <w:rsid w:val="19BA57F1"/>
    <w:rsid w:val="19C41F75"/>
    <w:rsid w:val="19F627A5"/>
    <w:rsid w:val="19F814C7"/>
    <w:rsid w:val="1A54552F"/>
    <w:rsid w:val="1A5B79AD"/>
    <w:rsid w:val="1A807414"/>
    <w:rsid w:val="1AAB623F"/>
    <w:rsid w:val="1ADE5D1E"/>
    <w:rsid w:val="1B1A668B"/>
    <w:rsid w:val="1B283854"/>
    <w:rsid w:val="1B743DF9"/>
    <w:rsid w:val="1B777A1E"/>
    <w:rsid w:val="1B8F3DB2"/>
    <w:rsid w:val="1B8F437C"/>
    <w:rsid w:val="1B9C202B"/>
    <w:rsid w:val="1BAF1C11"/>
    <w:rsid w:val="1BE12057"/>
    <w:rsid w:val="1BFF71F2"/>
    <w:rsid w:val="1C1F415A"/>
    <w:rsid w:val="1C4E1577"/>
    <w:rsid w:val="1C893E9E"/>
    <w:rsid w:val="1CB82E95"/>
    <w:rsid w:val="1CC730D8"/>
    <w:rsid w:val="1D287BB4"/>
    <w:rsid w:val="1D3C5874"/>
    <w:rsid w:val="1DA358F3"/>
    <w:rsid w:val="1DAB47A7"/>
    <w:rsid w:val="1DB91997"/>
    <w:rsid w:val="1DBF29B6"/>
    <w:rsid w:val="1DC16A73"/>
    <w:rsid w:val="1DDA7C52"/>
    <w:rsid w:val="1DDC70C7"/>
    <w:rsid w:val="1DEA37D0"/>
    <w:rsid w:val="1DF50F90"/>
    <w:rsid w:val="1E5454D7"/>
    <w:rsid w:val="1E566E09"/>
    <w:rsid w:val="1E6E0917"/>
    <w:rsid w:val="1E722557"/>
    <w:rsid w:val="1E7F349A"/>
    <w:rsid w:val="1E9445B9"/>
    <w:rsid w:val="1E9A4F48"/>
    <w:rsid w:val="1E9D67E6"/>
    <w:rsid w:val="1EEB5785"/>
    <w:rsid w:val="1EEE2B9E"/>
    <w:rsid w:val="1F0A3101"/>
    <w:rsid w:val="1F0D6E5A"/>
    <w:rsid w:val="1F340ED3"/>
    <w:rsid w:val="1F514F41"/>
    <w:rsid w:val="1F8654CC"/>
    <w:rsid w:val="1FAA11BB"/>
    <w:rsid w:val="1FDC4AF4"/>
    <w:rsid w:val="20042233"/>
    <w:rsid w:val="201F6680"/>
    <w:rsid w:val="20287425"/>
    <w:rsid w:val="20326079"/>
    <w:rsid w:val="20AA7367"/>
    <w:rsid w:val="20D3029D"/>
    <w:rsid w:val="20F85F56"/>
    <w:rsid w:val="21211A07"/>
    <w:rsid w:val="21303941"/>
    <w:rsid w:val="213A0D84"/>
    <w:rsid w:val="21422E23"/>
    <w:rsid w:val="215552ED"/>
    <w:rsid w:val="215C4736"/>
    <w:rsid w:val="216653F1"/>
    <w:rsid w:val="21BC3AE6"/>
    <w:rsid w:val="21BE3663"/>
    <w:rsid w:val="21C36564"/>
    <w:rsid w:val="21CB4521"/>
    <w:rsid w:val="21F77C09"/>
    <w:rsid w:val="22670645"/>
    <w:rsid w:val="22901635"/>
    <w:rsid w:val="22DB6E27"/>
    <w:rsid w:val="22E81F7E"/>
    <w:rsid w:val="22F4099F"/>
    <w:rsid w:val="22F74A98"/>
    <w:rsid w:val="22F77E40"/>
    <w:rsid w:val="23072480"/>
    <w:rsid w:val="23076924"/>
    <w:rsid w:val="232061AA"/>
    <w:rsid w:val="23353DAF"/>
    <w:rsid w:val="23621DAC"/>
    <w:rsid w:val="236973B4"/>
    <w:rsid w:val="23C84A86"/>
    <w:rsid w:val="23E944F0"/>
    <w:rsid w:val="24101A52"/>
    <w:rsid w:val="242A28CA"/>
    <w:rsid w:val="24371CB9"/>
    <w:rsid w:val="244F3E0A"/>
    <w:rsid w:val="24610701"/>
    <w:rsid w:val="246833F2"/>
    <w:rsid w:val="24713AA0"/>
    <w:rsid w:val="24775BB3"/>
    <w:rsid w:val="24B7449F"/>
    <w:rsid w:val="24BE6764"/>
    <w:rsid w:val="24F353B2"/>
    <w:rsid w:val="25165169"/>
    <w:rsid w:val="255D7F63"/>
    <w:rsid w:val="259250C6"/>
    <w:rsid w:val="25C96113"/>
    <w:rsid w:val="25DC48F0"/>
    <w:rsid w:val="262006BA"/>
    <w:rsid w:val="26355569"/>
    <w:rsid w:val="26B172D2"/>
    <w:rsid w:val="26EC030B"/>
    <w:rsid w:val="27075144"/>
    <w:rsid w:val="27271343"/>
    <w:rsid w:val="2729330D"/>
    <w:rsid w:val="27611A20"/>
    <w:rsid w:val="27632DDC"/>
    <w:rsid w:val="27713A97"/>
    <w:rsid w:val="27743E5C"/>
    <w:rsid w:val="27992E69"/>
    <w:rsid w:val="27C77D4E"/>
    <w:rsid w:val="27E16097"/>
    <w:rsid w:val="28221EE5"/>
    <w:rsid w:val="28546167"/>
    <w:rsid w:val="287009AC"/>
    <w:rsid w:val="28823561"/>
    <w:rsid w:val="288B49B0"/>
    <w:rsid w:val="289C366A"/>
    <w:rsid w:val="28B47777"/>
    <w:rsid w:val="28DF0877"/>
    <w:rsid w:val="28F416F8"/>
    <w:rsid w:val="28F91F34"/>
    <w:rsid w:val="2939535D"/>
    <w:rsid w:val="295719FA"/>
    <w:rsid w:val="295F1FA1"/>
    <w:rsid w:val="296C74E1"/>
    <w:rsid w:val="29EF1F0A"/>
    <w:rsid w:val="2A061DAE"/>
    <w:rsid w:val="2A0C4CC8"/>
    <w:rsid w:val="2A343872"/>
    <w:rsid w:val="2A375B47"/>
    <w:rsid w:val="2A3C5B63"/>
    <w:rsid w:val="2A5D507B"/>
    <w:rsid w:val="2A764433"/>
    <w:rsid w:val="2A834EA7"/>
    <w:rsid w:val="2AB845D9"/>
    <w:rsid w:val="2AFC0E90"/>
    <w:rsid w:val="2B115975"/>
    <w:rsid w:val="2B1F70B4"/>
    <w:rsid w:val="2B285689"/>
    <w:rsid w:val="2B4644FA"/>
    <w:rsid w:val="2BA91A6D"/>
    <w:rsid w:val="2BB55F54"/>
    <w:rsid w:val="2BBD62D5"/>
    <w:rsid w:val="2BD575BF"/>
    <w:rsid w:val="2BEA026C"/>
    <w:rsid w:val="2BF7401C"/>
    <w:rsid w:val="2C080884"/>
    <w:rsid w:val="2C117D39"/>
    <w:rsid w:val="2C471B3F"/>
    <w:rsid w:val="2C543E03"/>
    <w:rsid w:val="2C707165"/>
    <w:rsid w:val="2CB03B88"/>
    <w:rsid w:val="2CC55886"/>
    <w:rsid w:val="2CCB6C14"/>
    <w:rsid w:val="2CCC69CE"/>
    <w:rsid w:val="2CD0151F"/>
    <w:rsid w:val="2CF67163"/>
    <w:rsid w:val="2D3A16A4"/>
    <w:rsid w:val="2D406CBA"/>
    <w:rsid w:val="2D7171B9"/>
    <w:rsid w:val="2D79146A"/>
    <w:rsid w:val="2D9C5EBB"/>
    <w:rsid w:val="2DA76D39"/>
    <w:rsid w:val="2DDE60FD"/>
    <w:rsid w:val="2DFB3BCF"/>
    <w:rsid w:val="2E0423DE"/>
    <w:rsid w:val="2E3F3416"/>
    <w:rsid w:val="2E466ECB"/>
    <w:rsid w:val="2E7D058D"/>
    <w:rsid w:val="2E802059"/>
    <w:rsid w:val="2E8B0409"/>
    <w:rsid w:val="2EEB58A1"/>
    <w:rsid w:val="2EFC4E63"/>
    <w:rsid w:val="2F3300A1"/>
    <w:rsid w:val="2FE82FC8"/>
    <w:rsid w:val="2FEC4ED7"/>
    <w:rsid w:val="2FF224B1"/>
    <w:rsid w:val="2FFB03E2"/>
    <w:rsid w:val="3057367D"/>
    <w:rsid w:val="305D4027"/>
    <w:rsid w:val="30E97F96"/>
    <w:rsid w:val="31342C04"/>
    <w:rsid w:val="31350B00"/>
    <w:rsid w:val="313D4BFE"/>
    <w:rsid w:val="31545C7D"/>
    <w:rsid w:val="32065491"/>
    <w:rsid w:val="3269689D"/>
    <w:rsid w:val="32EC1CEB"/>
    <w:rsid w:val="331309CD"/>
    <w:rsid w:val="33150BE9"/>
    <w:rsid w:val="332A3DC5"/>
    <w:rsid w:val="33344D8A"/>
    <w:rsid w:val="33354DE7"/>
    <w:rsid w:val="33414E53"/>
    <w:rsid w:val="33523510"/>
    <w:rsid w:val="335F1E64"/>
    <w:rsid w:val="33796F21"/>
    <w:rsid w:val="338F44F8"/>
    <w:rsid w:val="33BC0D17"/>
    <w:rsid w:val="33FC588E"/>
    <w:rsid w:val="340C7A59"/>
    <w:rsid w:val="34666432"/>
    <w:rsid w:val="349B6BB1"/>
    <w:rsid w:val="349D6F1D"/>
    <w:rsid w:val="34A51AF9"/>
    <w:rsid w:val="34DB114B"/>
    <w:rsid w:val="34E2413B"/>
    <w:rsid w:val="34F059AD"/>
    <w:rsid w:val="350667E1"/>
    <w:rsid w:val="35A0359E"/>
    <w:rsid w:val="35EA1C71"/>
    <w:rsid w:val="366832A7"/>
    <w:rsid w:val="36A75FFC"/>
    <w:rsid w:val="36C711B3"/>
    <w:rsid w:val="36D331C1"/>
    <w:rsid w:val="36EF7A1F"/>
    <w:rsid w:val="36FA25D0"/>
    <w:rsid w:val="372431A9"/>
    <w:rsid w:val="373758DB"/>
    <w:rsid w:val="373F0A68"/>
    <w:rsid w:val="376F1CE9"/>
    <w:rsid w:val="37796941"/>
    <w:rsid w:val="37920A5A"/>
    <w:rsid w:val="37AB1B1C"/>
    <w:rsid w:val="37CD3C9D"/>
    <w:rsid w:val="3821593A"/>
    <w:rsid w:val="382A2275"/>
    <w:rsid w:val="38561A88"/>
    <w:rsid w:val="386E4D94"/>
    <w:rsid w:val="388B0DDA"/>
    <w:rsid w:val="389023FE"/>
    <w:rsid w:val="38A93918"/>
    <w:rsid w:val="38C06F01"/>
    <w:rsid w:val="396D1638"/>
    <w:rsid w:val="396F26D5"/>
    <w:rsid w:val="39A711DF"/>
    <w:rsid w:val="39BE5B37"/>
    <w:rsid w:val="39D6476D"/>
    <w:rsid w:val="39D64B9C"/>
    <w:rsid w:val="39E4731D"/>
    <w:rsid w:val="3A035551"/>
    <w:rsid w:val="3A267238"/>
    <w:rsid w:val="3A3D1187"/>
    <w:rsid w:val="3A3F654C"/>
    <w:rsid w:val="3A4749C8"/>
    <w:rsid w:val="3A783AA5"/>
    <w:rsid w:val="3A9073CB"/>
    <w:rsid w:val="3A9E14C4"/>
    <w:rsid w:val="3AA30B8F"/>
    <w:rsid w:val="3ABD5A93"/>
    <w:rsid w:val="3ABF153E"/>
    <w:rsid w:val="3B4007CD"/>
    <w:rsid w:val="3B617C79"/>
    <w:rsid w:val="3B814038"/>
    <w:rsid w:val="3B985F13"/>
    <w:rsid w:val="3BC830AB"/>
    <w:rsid w:val="3C20544E"/>
    <w:rsid w:val="3C2F4A66"/>
    <w:rsid w:val="3C3206DD"/>
    <w:rsid w:val="3C4A0BC2"/>
    <w:rsid w:val="3C7F2B87"/>
    <w:rsid w:val="3CA0728D"/>
    <w:rsid w:val="3CE13ECB"/>
    <w:rsid w:val="3D825812"/>
    <w:rsid w:val="3D9A3EB6"/>
    <w:rsid w:val="3D9B1CEB"/>
    <w:rsid w:val="3DAD7F06"/>
    <w:rsid w:val="3DAE1A1E"/>
    <w:rsid w:val="3DC16725"/>
    <w:rsid w:val="3DCE530E"/>
    <w:rsid w:val="3DF77869"/>
    <w:rsid w:val="3E3E3D04"/>
    <w:rsid w:val="3E5C2DFB"/>
    <w:rsid w:val="3E69729C"/>
    <w:rsid w:val="3E713C57"/>
    <w:rsid w:val="3E854098"/>
    <w:rsid w:val="3E8D1119"/>
    <w:rsid w:val="3E911C8C"/>
    <w:rsid w:val="3EB72B54"/>
    <w:rsid w:val="3EC511D3"/>
    <w:rsid w:val="3F245E2C"/>
    <w:rsid w:val="3F332551"/>
    <w:rsid w:val="3F3C4FBF"/>
    <w:rsid w:val="3F503226"/>
    <w:rsid w:val="3F544847"/>
    <w:rsid w:val="3F6434ED"/>
    <w:rsid w:val="3F6A5E19"/>
    <w:rsid w:val="3F7E2737"/>
    <w:rsid w:val="3FA96941"/>
    <w:rsid w:val="3FB5178A"/>
    <w:rsid w:val="3FBA02B1"/>
    <w:rsid w:val="3FBB23AB"/>
    <w:rsid w:val="3FD66D79"/>
    <w:rsid w:val="3FD9025D"/>
    <w:rsid w:val="400F7FB8"/>
    <w:rsid w:val="40280651"/>
    <w:rsid w:val="40307062"/>
    <w:rsid w:val="403808D0"/>
    <w:rsid w:val="4056149A"/>
    <w:rsid w:val="4090365D"/>
    <w:rsid w:val="40C652D1"/>
    <w:rsid w:val="40CA6BD8"/>
    <w:rsid w:val="40CF532E"/>
    <w:rsid w:val="40D479EE"/>
    <w:rsid w:val="40DB5C12"/>
    <w:rsid w:val="40EF4858"/>
    <w:rsid w:val="413E72BD"/>
    <w:rsid w:val="414601C0"/>
    <w:rsid w:val="41557947"/>
    <w:rsid w:val="4156012F"/>
    <w:rsid w:val="41872CB2"/>
    <w:rsid w:val="419F4395"/>
    <w:rsid w:val="423E2608"/>
    <w:rsid w:val="4263150B"/>
    <w:rsid w:val="426E135A"/>
    <w:rsid w:val="42886848"/>
    <w:rsid w:val="42AB1E91"/>
    <w:rsid w:val="42BC7469"/>
    <w:rsid w:val="43291B47"/>
    <w:rsid w:val="434C281A"/>
    <w:rsid w:val="436A288B"/>
    <w:rsid w:val="436B58C1"/>
    <w:rsid w:val="438F759E"/>
    <w:rsid w:val="43A20537"/>
    <w:rsid w:val="43BB3579"/>
    <w:rsid w:val="43F87989"/>
    <w:rsid w:val="43FB0D44"/>
    <w:rsid w:val="44136A7F"/>
    <w:rsid w:val="441B5933"/>
    <w:rsid w:val="443864E5"/>
    <w:rsid w:val="4447497A"/>
    <w:rsid w:val="44595F62"/>
    <w:rsid w:val="44972250"/>
    <w:rsid w:val="449A7DEF"/>
    <w:rsid w:val="44AB0740"/>
    <w:rsid w:val="44CF025D"/>
    <w:rsid w:val="44F76230"/>
    <w:rsid w:val="44FF7003"/>
    <w:rsid w:val="45550B56"/>
    <w:rsid w:val="45594965"/>
    <w:rsid w:val="459D696F"/>
    <w:rsid w:val="45BB3E86"/>
    <w:rsid w:val="45DB3EE1"/>
    <w:rsid w:val="45E87A97"/>
    <w:rsid w:val="463D3836"/>
    <w:rsid w:val="46454EEA"/>
    <w:rsid w:val="46537607"/>
    <w:rsid w:val="46F80E01"/>
    <w:rsid w:val="47122CBB"/>
    <w:rsid w:val="473E0BC9"/>
    <w:rsid w:val="47BF021B"/>
    <w:rsid w:val="47CE2EEB"/>
    <w:rsid w:val="47E66258"/>
    <w:rsid w:val="47E726FC"/>
    <w:rsid w:val="480C3AC2"/>
    <w:rsid w:val="481334F1"/>
    <w:rsid w:val="482766BC"/>
    <w:rsid w:val="486B2F6E"/>
    <w:rsid w:val="48860314"/>
    <w:rsid w:val="48900E0E"/>
    <w:rsid w:val="48CF1B3F"/>
    <w:rsid w:val="48D50670"/>
    <w:rsid w:val="49270283"/>
    <w:rsid w:val="49303694"/>
    <w:rsid w:val="49357924"/>
    <w:rsid w:val="49535B70"/>
    <w:rsid w:val="49D51BA2"/>
    <w:rsid w:val="49F7299F"/>
    <w:rsid w:val="4A0D6172"/>
    <w:rsid w:val="4A1E39A7"/>
    <w:rsid w:val="4A205A52"/>
    <w:rsid w:val="4A6F69D9"/>
    <w:rsid w:val="4A7C1911"/>
    <w:rsid w:val="4AAE19D8"/>
    <w:rsid w:val="4AC83491"/>
    <w:rsid w:val="4ADB1BE3"/>
    <w:rsid w:val="4B1B7B3D"/>
    <w:rsid w:val="4B643050"/>
    <w:rsid w:val="4B8B3770"/>
    <w:rsid w:val="4B9E1324"/>
    <w:rsid w:val="4BA81375"/>
    <w:rsid w:val="4BB01057"/>
    <w:rsid w:val="4BBA379C"/>
    <w:rsid w:val="4BBB5BFF"/>
    <w:rsid w:val="4BBC642A"/>
    <w:rsid w:val="4C094780"/>
    <w:rsid w:val="4C771B75"/>
    <w:rsid w:val="4C8524E4"/>
    <w:rsid w:val="4CAE0659"/>
    <w:rsid w:val="4CB84667"/>
    <w:rsid w:val="4CF747C8"/>
    <w:rsid w:val="4D4D1254"/>
    <w:rsid w:val="4D6937FC"/>
    <w:rsid w:val="4E047438"/>
    <w:rsid w:val="4E0E728F"/>
    <w:rsid w:val="4E444BAC"/>
    <w:rsid w:val="4E4A3EEC"/>
    <w:rsid w:val="4E5A1A99"/>
    <w:rsid w:val="4E5C24D6"/>
    <w:rsid w:val="4E5F20B3"/>
    <w:rsid w:val="4E7653C3"/>
    <w:rsid w:val="4EB326F5"/>
    <w:rsid w:val="4ED00D41"/>
    <w:rsid w:val="4F513C47"/>
    <w:rsid w:val="4FC5317B"/>
    <w:rsid w:val="4FDC45B3"/>
    <w:rsid w:val="4FE13ED5"/>
    <w:rsid w:val="502E6463"/>
    <w:rsid w:val="5032028D"/>
    <w:rsid w:val="50D92815"/>
    <w:rsid w:val="512F2A1E"/>
    <w:rsid w:val="514207B4"/>
    <w:rsid w:val="51491D32"/>
    <w:rsid w:val="51986815"/>
    <w:rsid w:val="51A22A8A"/>
    <w:rsid w:val="52223A03"/>
    <w:rsid w:val="52280F4D"/>
    <w:rsid w:val="52291B63"/>
    <w:rsid w:val="525F1764"/>
    <w:rsid w:val="52C92AF8"/>
    <w:rsid w:val="52F20048"/>
    <w:rsid w:val="5327238E"/>
    <w:rsid w:val="53542877"/>
    <w:rsid w:val="53A414A2"/>
    <w:rsid w:val="53BB67EB"/>
    <w:rsid w:val="53F02BCE"/>
    <w:rsid w:val="53FF492A"/>
    <w:rsid w:val="540A362E"/>
    <w:rsid w:val="54181E8F"/>
    <w:rsid w:val="54235A0E"/>
    <w:rsid w:val="54444A33"/>
    <w:rsid w:val="547F6E60"/>
    <w:rsid w:val="549851AA"/>
    <w:rsid w:val="54A77BD0"/>
    <w:rsid w:val="54C73613"/>
    <w:rsid w:val="54E3249D"/>
    <w:rsid w:val="54EF3049"/>
    <w:rsid w:val="55C43896"/>
    <w:rsid w:val="55DE7FD1"/>
    <w:rsid w:val="55EC5382"/>
    <w:rsid w:val="55F81F79"/>
    <w:rsid w:val="56051FA0"/>
    <w:rsid w:val="5619255C"/>
    <w:rsid w:val="56332FB1"/>
    <w:rsid w:val="563716C6"/>
    <w:rsid w:val="5651061F"/>
    <w:rsid w:val="56514559"/>
    <w:rsid w:val="56551179"/>
    <w:rsid w:val="56732E92"/>
    <w:rsid w:val="56860599"/>
    <w:rsid w:val="56B01760"/>
    <w:rsid w:val="56ED07D2"/>
    <w:rsid w:val="570771C4"/>
    <w:rsid w:val="573B2C49"/>
    <w:rsid w:val="5749164E"/>
    <w:rsid w:val="576E2576"/>
    <w:rsid w:val="577B3483"/>
    <w:rsid w:val="57B32027"/>
    <w:rsid w:val="57F4175C"/>
    <w:rsid w:val="58242BB1"/>
    <w:rsid w:val="584E7C2E"/>
    <w:rsid w:val="58650D68"/>
    <w:rsid w:val="587B5783"/>
    <w:rsid w:val="58BA0251"/>
    <w:rsid w:val="58C32D2C"/>
    <w:rsid w:val="58CF78EC"/>
    <w:rsid w:val="59286AF5"/>
    <w:rsid w:val="593C3F2A"/>
    <w:rsid w:val="59477D94"/>
    <w:rsid w:val="59522BCF"/>
    <w:rsid w:val="596E75B3"/>
    <w:rsid w:val="59981AA8"/>
    <w:rsid w:val="599D630C"/>
    <w:rsid w:val="59E324F0"/>
    <w:rsid w:val="59FD5DAF"/>
    <w:rsid w:val="5A2C0443"/>
    <w:rsid w:val="5A460C39"/>
    <w:rsid w:val="5A7C5CEE"/>
    <w:rsid w:val="5A83196F"/>
    <w:rsid w:val="5A865DA5"/>
    <w:rsid w:val="5A8D6E05"/>
    <w:rsid w:val="5A984DB0"/>
    <w:rsid w:val="5AA55C5D"/>
    <w:rsid w:val="5ABB6AC5"/>
    <w:rsid w:val="5ADF4E28"/>
    <w:rsid w:val="5AE42ACB"/>
    <w:rsid w:val="5B3255E5"/>
    <w:rsid w:val="5B440C1D"/>
    <w:rsid w:val="5B445318"/>
    <w:rsid w:val="5B545BC1"/>
    <w:rsid w:val="5B953DC6"/>
    <w:rsid w:val="5BE978C8"/>
    <w:rsid w:val="5BEA5EBF"/>
    <w:rsid w:val="5BF31218"/>
    <w:rsid w:val="5BF65C2B"/>
    <w:rsid w:val="5C024D68"/>
    <w:rsid w:val="5C190553"/>
    <w:rsid w:val="5C1C63A8"/>
    <w:rsid w:val="5C1D44E7"/>
    <w:rsid w:val="5C3928B7"/>
    <w:rsid w:val="5C4C6CDD"/>
    <w:rsid w:val="5C9C18B0"/>
    <w:rsid w:val="5CCC1022"/>
    <w:rsid w:val="5CFA0839"/>
    <w:rsid w:val="5CFD0C94"/>
    <w:rsid w:val="5D034EAB"/>
    <w:rsid w:val="5D2C2D43"/>
    <w:rsid w:val="5D4B6347"/>
    <w:rsid w:val="5D5D12FC"/>
    <w:rsid w:val="5DB311A2"/>
    <w:rsid w:val="5DCB08A5"/>
    <w:rsid w:val="5E28764B"/>
    <w:rsid w:val="5E48511F"/>
    <w:rsid w:val="5E8150D6"/>
    <w:rsid w:val="5E8C7702"/>
    <w:rsid w:val="5ED230D5"/>
    <w:rsid w:val="5F035DB0"/>
    <w:rsid w:val="5F0E6369"/>
    <w:rsid w:val="5F1514A5"/>
    <w:rsid w:val="5F1F40D2"/>
    <w:rsid w:val="5F217E4A"/>
    <w:rsid w:val="5F6E5059"/>
    <w:rsid w:val="5F7A5FAA"/>
    <w:rsid w:val="5F960335"/>
    <w:rsid w:val="5FD87822"/>
    <w:rsid w:val="5FDA624B"/>
    <w:rsid w:val="5FFC2153"/>
    <w:rsid w:val="5FFE3A50"/>
    <w:rsid w:val="600F05EB"/>
    <w:rsid w:val="60205FEB"/>
    <w:rsid w:val="603051A0"/>
    <w:rsid w:val="608834E3"/>
    <w:rsid w:val="608D4418"/>
    <w:rsid w:val="60917AA4"/>
    <w:rsid w:val="60953092"/>
    <w:rsid w:val="60A126BA"/>
    <w:rsid w:val="60C65CFB"/>
    <w:rsid w:val="60E27AAD"/>
    <w:rsid w:val="60E708DE"/>
    <w:rsid w:val="610C36F9"/>
    <w:rsid w:val="616D5E79"/>
    <w:rsid w:val="61BC6FAD"/>
    <w:rsid w:val="61CF0031"/>
    <w:rsid w:val="61DC0CEA"/>
    <w:rsid w:val="621A7B41"/>
    <w:rsid w:val="627806C9"/>
    <w:rsid w:val="6278415A"/>
    <w:rsid w:val="62854B94"/>
    <w:rsid w:val="629D637E"/>
    <w:rsid w:val="62C76F5B"/>
    <w:rsid w:val="62DC6B6F"/>
    <w:rsid w:val="630E23AA"/>
    <w:rsid w:val="63150428"/>
    <w:rsid w:val="631D1553"/>
    <w:rsid w:val="63210FAF"/>
    <w:rsid w:val="63251ED3"/>
    <w:rsid w:val="63493E13"/>
    <w:rsid w:val="635E2806"/>
    <w:rsid w:val="637A5AA2"/>
    <w:rsid w:val="63B10DD5"/>
    <w:rsid w:val="63B75C6E"/>
    <w:rsid w:val="63BD3C66"/>
    <w:rsid w:val="63F464C6"/>
    <w:rsid w:val="64216751"/>
    <w:rsid w:val="646251EF"/>
    <w:rsid w:val="64845E40"/>
    <w:rsid w:val="64A42AF3"/>
    <w:rsid w:val="64B83748"/>
    <w:rsid w:val="64C319A4"/>
    <w:rsid w:val="64E42046"/>
    <w:rsid w:val="65090241"/>
    <w:rsid w:val="653813E6"/>
    <w:rsid w:val="65836FC4"/>
    <w:rsid w:val="65975A80"/>
    <w:rsid w:val="65C37035"/>
    <w:rsid w:val="66045714"/>
    <w:rsid w:val="660B3A10"/>
    <w:rsid w:val="661C136B"/>
    <w:rsid w:val="66212E26"/>
    <w:rsid w:val="66262939"/>
    <w:rsid w:val="66463B4D"/>
    <w:rsid w:val="6673060D"/>
    <w:rsid w:val="6675630B"/>
    <w:rsid w:val="66855787"/>
    <w:rsid w:val="66AE3D13"/>
    <w:rsid w:val="66B141AA"/>
    <w:rsid w:val="66E04642"/>
    <w:rsid w:val="66FE33BF"/>
    <w:rsid w:val="670E2F28"/>
    <w:rsid w:val="671F22FE"/>
    <w:rsid w:val="672A5D0A"/>
    <w:rsid w:val="673F2C46"/>
    <w:rsid w:val="674B779D"/>
    <w:rsid w:val="675E4AC0"/>
    <w:rsid w:val="675F4E6C"/>
    <w:rsid w:val="67713939"/>
    <w:rsid w:val="67BE4CCD"/>
    <w:rsid w:val="67DB1AA2"/>
    <w:rsid w:val="67E67E83"/>
    <w:rsid w:val="67F65BEC"/>
    <w:rsid w:val="68190258"/>
    <w:rsid w:val="681B2736"/>
    <w:rsid w:val="6843464A"/>
    <w:rsid w:val="684D7F02"/>
    <w:rsid w:val="68536C51"/>
    <w:rsid w:val="685A7314"/>
    <w:rsid w:val="687436E1"/>
    <w:rsid w:val="688B27D8"/>
    <w:rsid w:val="68C420B7"/>
    <w:rsid w:val="68E026E1"/>
    <w:rsid w:val="694451C5"/>
    <w:rsid w:val="694664F0"/>
    <w:rsid w:val="694E1174"/>
    <w:rsid w:val="69511657"/>
    <w:rsid w:val="69F70497"/>
    <w:rsid w:val="6A250150"/>
    <w:rsid w:val="6A4B7D7B"/>
    <w:rsid w:val="6A593EC0"/>
    <w:rsid w:val="6A6331FE"/>
    <w:rsid w:val="6A665846"/>
    <w:rsid w:val="6A6D1185"/>
    <w:rsid w:val="6A85693E"/>
    <w:rsid w:val="6AB26742"/>
    <w:rsid w:val="6B005971"/>
    <w:rsid w:val="6B025754"/>
    <w:rsid w:val="6B097A71"/>
    <w:rsid w:val="6B160A7F"/>
    <w:rsid w:val="6B362ECF"/>
    <w:rsid w:val="6B483CCF"/>
    <w:rsid w:val="6B4E542C"/>
    <w:rsid w:val="6B563FF6"/>
    <w:rsid w:val="6B5670CE"/>
    <w:rsid w:val="6B637A3C"/>
    <w:rsid w:val="6B67752D"/>
    <w:rsid w:val="6B737C7F"/>
    <w:rsid w:val="6B834A11"/>
    <w:rsid w:val="6BA30DF1"/>
    <w:rsid w:val="6BFC31DF"/>
    <w:rsid w:val="6C006797"/>
    <w:rsid w:val="6C786CA8"/>
    <w:rsid w:val="6D081D2D"/>
    <w:rsid w:val="6D2F122B"/>
    <w:rsid w:val="6D417909"/>
    <w:rsid w:val="6D707931"/>
    <w:rsid w:val="6D7E0B5E"/>
    <w:rsid w:val="6D914D2B"/>
    <w:rsid w:val="6D9D7236"/>
    <w:rsid w:val="6DFE2C5C"/>
    <w:rsid w:val="6E0202E6"/>
    <w:rsid w:val="6E2960E4"/>
    <w:rsid w:val="6E2972FF"/>
    <w:rsid w:val="6E4C24B0"/>
    <w:rsid w:val="6E5B7D7F"/>
    <w:rsid w:val="6E702B3A"/>
    <w:rsid w:val="6E775CD9"/>
    <w:rsid w:val="6E854322"/>
    <w:rsid w:val="6EA939B8"/>
    <w:rsid w:val="6EC10D02"/>
    <w:rsid w:val="6EC205C7"/>
    <w:rsid w:val="6ED323D2"/>
    <w:rsid w:val="6F292F4A"/>
    <w:rsid w:val="6F35524C"/>
    <w:rsid w:val="6F394D8D"/>
    <w:rsid w:val="6F3A3369"/>
    <w:rsid w:val="6F522A6C"/>
    <w:rsid w:val="6F64164E"/>
    <w:rsid w:val="6F7B1AEF"/>
    <w:rsid w:val="6F970B81"/>
    <w:rsid w:val="6FC43FB0"/>
    <w:rsid w:val="6FC54822"/>
    <w:rsid w:val="700D1A32"/>
    <w:rsid w:val="70136B68"/>
    <w:rsid w:val="702A28D7"/>
    <w:rsid w:val="703E6382"/>
    <w:rsid w:val="70480532"/>
    <w:rsid w:val="705806BC"/>
    <w:rsid w:val="705F07D2"/>
    <w:rsid w:val="707E129D"/>
    <w:rsid w:val="70C15A45"/>
    <w:rsid w:val="70D26079"/>
    <w:rsid w:val="7114645E"/>
    <w:rsid w:val="71182116"/>
    <w:rsid w:val="711A0B9D"/>
    <w:rsid w:val="71463740"/>
    <w:rsid w:val="71512C03"/>
    <w:rsid w:val="715F4802"/>
    <w:rsid w:val="71E01A27"/>
    <w:rsid w:val="71E70EE5"/>
    <w:rsid w:val="71FD5FD6"/>
    <w:rsid w:val="72443DA5"/>
    <w:rsid w:val="72541844"/>
    <w:rsid w:val="725B0041"/>
    <w:rsid w:val="72640322"/>
    <w:rsid w:val="727662A7"/>
    <w:rsid w:val="72A55954"/>
    <w:rsid w:val="72BF3770"/>
    <w:rsid w:val="72D10AE8"/>
    <w:rsid w:val="72E66F89"/>
    <w:rsid w:val="731362DE"/>
    <w:rsid w:val="73216213"/>
    <w:rsid w:val="732C01C9"/>
    <w:rsid w:val="734419EC"/>
    <w:rsid w:val="734A12C2"/>
    <w:rsid w:val="7352461E"/>
    <w:rsid w:val="739C7F8F"/>
    <w:rsid w:val="739D2A02"/>
    <w:rsid w:val="73EC07E7"/>
    <w:rsid w:val="740F3323"/>
    <w:rsid w:val="743D52CE"/>
    <w:rsid w:val="743F2343"/>
    <w:rsid w:val="744C5512"/>
    <w:rsid w:val="744D3038"/>
    <w:rsid w:val="74786307"/>
    <w:rsid w:val="747965B6"/>
    <w:rsid w:val="748B1E4C"/>
    <w:rsid w:val="748F29C2"/>
    <w:rsid w:val="749815A3"/>
    <w:rsid w:val="74A2140F"/>
    <w:rsid w:val="74AA048A"/>
    <w:rsid w:val="74D84FF7"/>
    <w:rsid w:val="753F4FC3"/>
    <w:rsid w:val="756C305C"/>
    <w:rsid w:val="758F1B5A"/>
    <w:rsid w:val="75983E4F"/>
    <w:rsid w:val="75A814DF"/>
    <w:rsid w:val="75BB6235"/>
    <w:rsid w:val="75BC66C7"/>
    <w:rsid w:val="76182881"/>
    <w:rsid w:val="761A5932"/>
    <w:rsid w:val="762E37E5"/>
    <w:rsid w:val="76425B24"/>
    <w:rsid w:val="76430DF0"/>
    <w:rsid w:val="7670688B"/>
    <w:rsid w:val="76976704"/>
    <w:rsid w:val="76976E5D"/>
    <w:rsid w:val="76B86820"/>
    <w:rsid w:val="76BE086D"/>
    <w:rsid w:val="76E04730"/>
    <w:rsid w:val="7721621A"/>
    <w:rsid w:val="77636925"/>
    <w:rsid w:val="7776434F"/>
    <w:rsid w:val="77C11FB8"/>
    <w:rsid w:val="786A1746"/>
    <w:rsid w:val="787B0EF3"/>
    <w:rsid w:val="78876DB1"/>
    <w:rsid w:val="78910284"/>
    <w:rsid w:val="7894476E"/>
    <w:rsid w:val="78A5543C"/>
    <w:rsid w:val="78A73A50"/>
    <w:rsid w:val="78B13B95"/>
    <w:rsid w:val="78B64B6B"/>
    <w:rsid w:val="78C305C0"/>
    <w:rsid w:val="792F0F5E"/>
    <w:rsid w:val="79460792"/>
    <w:rsid w:val="79586707"/>
    <w:rsid w:val="797219C3"/>
    <w:rsid w:val="79BD39DA"/>
    <w:rsid w:val="79C31AC2"/>
    <w:rsid w:val="7A102B3D"/>
    <w:rsid w:val="7A4540E8"/>
    <w:rsid w:val="7A4E3666"/>
    <w:rsid w:val="7A5919B2"/>
    <w:rsid w:val="7A5A14F8"/>
    <w:rsid w:val="7A6247C1"/>
    <w:rsid w:val="7A821EF6"/>
    <w:rsid w:val="7A85653F"/>
    <w:rsid w:val="7A951295"/>
    <w:rsid w:val="7AEF4E49"/>
    <w:rsid w:val="7B02743D"/>
    <w:rsid w:val="7B2D7E2B"/>
    <w:rsid w:val="7B45007C"/>
    <w:rsid w:val="7C0102E1"/>
    <w:rsid w:val="7C5C02BC"/>
    <w:rsid w:val="7C70670D"/>
    <w:rsid w:val="7C7243F0"/>
    <w:rsid w:val="7CCD4D16"/>
    <w:rsid w:val="7D0D7808"/>
    <w:rsid w:val="7D206F0A"/>
    <w:rsid w:val="7D221505"/>
    <w:rsid w:val="7D554DD3"/>
    <w:rsid w:val="7D580EFC"/>
    <w:rsid w:val="7D637B59"/>
    <w:rsid w:val="7D9B7217"/>
    <w:rsid w:val="7DC64986"/>
    <w:rsid w:val="7DDC1A7B"/>
    <w:rsid w:val="7DF80E09"/>
    <w:rsid w:val="7DF84738"/>
    <w:rsid w:val="7E340A4E"/>
    <w:rsid w:val="7E6C4FCC"/>
    <w:rsid w:val="7EA50E38"/>
    <w:rsid w:val="7EC63F4C"/>
    <w:rsid w:val="7F02303B"/>
    <w:rsid w:val="7F055779"/>
    <w:rsid w:val="7F24104B"/>
    <w:rsid w:val="7F255A6C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88" w:lineRule="auto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9"/>
    <w:autoRedefine/>
    <w:qFormat/>
    <w:uiPriority w:val="0"/>
    <w:pPr>
      <w:keepNext/>
      <w:keepLines/>
      <w:pageBreakBefore/>
      <w:numPr>
        <w:ilvl w:val="0"/>
        <w:numId w:val="1"/>
      </w:numPr>
      <w:spacing w:before="60" w:after="60"/>
      <w:ind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4">
    <w:name w:val="heading 2"/>
    <w:basedOn w:val="1"/>
    <w:next w:val="1"/>
    <w:link w:val="31"/>
    <w:autoRedefine/>
    <w:unhideWhenUsed/>
    <w:qFormat/>
    <w:uiPriority w:val="0"/>
    <w:pPr>
      <w:keepNext/>
      <w:keepLines/>
      <w:numPr>
        <w:ilvl w:val="1"/>
        <w:numId w:val="1"/>
      </w:numPr>
      <w:spacing w:before="80" w:after="80"/>
      <w:ind w:firstLineChars="0"/>
      <w:outlineLvl w:val="1"/>
    </w:pPr>
    <w:rPr>
      <w:rFonts w:ascii="Times New Roman" w:hAnsi="Times New Roman" w:eastAsia="楷体"/>
      <w:b/>
      <w:sz w:val="28"/>
    </w:rPr>
  </w:style>
  <w:style w:type="paragraph" w:styleId="5">
    <w:name w:val="heading 3"/>
    <w:next w:val="1"/>
    <w:autoRedefine/>
    <w:unhideWhenUsed/>
    <w:qFormat/>
    <w:uiPriority w:val="0"/>
    <w:pPr>
      <w:keepNext/>
      <w:keepLines/>
      <w:numPr>
        <w:ilvl w:val="2"/>
        <w:numId w:val="1"/>
      </w:numPr>
      <w:spacing w:before="300" w:after="300"/>
      <w:ind w:firstLine="420"/>
      <w:jc w:val="center"/>
      <w:outlineLvl w:val="2"/>
    </w:pPr>
    <w:rPr>
      <w:rFonts w:ascii="Times New Roman" w:hAnsi="Times New Roman" w:eastAsia="黑体" w:cstheme="minorBidi"/>
      <w:sz w:val="32"/>
      <w:lang w:val="en-US" w:eastAsia="zh-CN" w:bidi="ar-SA"/>
    </w:rPr>
  </w:style>
  <w:style w:type="paragraph" w:styleId="6">
    <w:name w:val="heading 4"/>
    <w:basedOn w:val="1"/>
    <w:next w:val="1"/>
    <w:autoRedefine/>
    <w:unhideWhenUsed/>
    <w:qFormat/>
    <w:uiPriority w:val="0"/>
    <w:pPr>
      <w:keepNext/>
      <w:numPr>
        <w:ilvl w:val="3"/>
        <w:numId w:val="1"/>
      </w:numPr>
      <w:spacing w:after="20" w:line="240" w:lineRule="auto"/>
      <w:ind w:firstLine="420" w:firstLineChars="0"/>
      <w:jc w:val="center"/>
      <w:outlineLvl w:val="3"/>
    </w:pPr>
    <w:rPr>
      <w:rFonts w:ascii="Times New Roman" w:hAnsi="Times New Roman" w:eastAsia="宋体"/>
      <w:b/>
      <w:sz w:val="24"/>
    </w:rPr>
  </w:style>
  <w:style w:type="paragraph" w:styleId="7">
    <w:name w:val="heading 5"/>
    <w:basedOn w:val="1"/>
    <w:next w:val="1"/>
    <w:autoRedefine/>
    <w:unhideWhenUsed/>
    <w:qFormat/>
    <w:uiPriority w:val="0"/>
    <w:pPr>
      <w:keepNext/>
      <w:keepLines/>
      <w:numPr>
        <w:ilvl w:val="4"/>
        <w:numId w:val="1"/>
      </w:numPr>
      <w:spacing w:after="100" w:line="500" w:lineRule="exact"/>
      <w:ind w:firstLine="402" w:firstLineChars="0"/>
      <w:jc w:val="center"/>
      <w:outlineLvl w:val="4"/>
    </w:pPr>
    <w:rPr>
      <w:rFonts w:ascii="Times New Roman" w:hAnsi="Times New Roman" w:eastAsia="宋体"/>
      <w:b/>
      <w:sz w:val="24"/>
      <w:szCs w:val="21"/>
    </w:rPr>
  </w:style>
  <w:style w:type="paragraph" w:styleId="8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Chars="0"/>
      <w:outlineLvl w:val="8"/>
    </w:pPr>
    <w:rPr>
      <w:rFonts w:ascii="Arial" w:hAnsi="Arial" w:eastAsia="黑体"/>
      <w:sz w:val="21"/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12">
    <w:name w:val="toc 7"/>
    <w:basedOn w:val="1"/>
    <w:next w:val="1"/>
    <w:autoRedefine/>
    <w:unhideWhenUsed/>
    <w:qFormat/>
    <w:uiPriority w:val="39"/>
    <w:pPr>
      <w:ind w:left="2520" w:leftChars="1200" w:firstLine="0" w:firstLineChars="0"/>
    </w:pPr>
    <w:rPr>
      <w:rFonts w:asciiTheme="minorHAnsi" w:hAnsiTheme="minorHAnsi" w:eastAsiaTheme="minorEastAsia"/>
      <w:sz w:val="21"/>
      <w:szCs w:val="22"/>
    </w:rPr>
  </w:style>
  <w:style w:type="paragraph" w:styleId="13">
    <w:name w:val="annotation text"/>
    <w:basedOn w:val="1"/>
    <w:autoRedefine/>
    <w:qFormat/>
    <w:uiPriority w:val="0"/>
    <w:pPr>
      <w:jc w:val="left"/>
    </w:pPr>
  </w:style>
  <w:style w:type="paragraph" w:styleId="14">
    <w:name w:val="toc 5"/>
    <w:basedOn w:val="1"/>
    <w:next w:val="1"/>
    <w:autoRedefine/>
    <w:unhideWhenUsed/>
    <w:qFormat/>
    <w:uiPriority w:val="39"/>
    <w:pPr>
      <w:ind w:left="1680" w:leftChars="800" w:firstLine="0" w:firstLineChars="0"/>
    </w:pPr>
    <w:rPr>
      <w:rFonts w:asciiTheme="minorHAnsi" w:hAnsiTheme="minorHAnsi" w:eastAsiaTheme="minorEastAsia"/>
      <w:sz w:val="21"/>
      <w:szCs w:val="22"/>
    </w:rPr>
  </w:style>
  <w:style w:type="paragraph" w:styleId="15">
    <w:name w:val="toc 3"/>
    <w:basedOn w:val="1"/>
    <w:next w:val="1"/>
    <w:autoRedefine/>
    <w:qFormat/>
    <w:uiPriority w:val="39"/>
    <w:pPr>
      <w:ind w:left="840" w:leftChars="400"/>
    </w:pPr>
  </w:style>
  <w:style w:type="paragraph" w:styleId="16">
    <w:name w:val="toc 8"/>
    <w:basedOn w:val="1"/>
    <w:next w:val="1"/>
    <w:autoRedefine/>
    <w:unhideWhenUsed/>
    <w:qFormat/>
    <w:uiPriority w:val="39"/>
    <w:pPr>
      <w:ind w:left="2940" w:leftChars="1400" w:firstLine="0" w:firstLineChars="0"/>
    </w:pPr>
    <w:rPr>
      <w:rFonts w:asciiTheme="minorHAnsi" w:hAnsiTheme="minorHAnsi" w:eastAsiaTheme="minorEastAsia"/>
      <w:sz w:val="21"/>
      <w:szCs w:val="22"/>
    </w:rPr>
  </w:style>
  <w:style w:type="paragraph" w:styleId="1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toc 1"/>
    <w:basedOn w:val="1"/>
    <w:next w:val="1"/>
    <w:autoRedefine/>
    <w:qFormat/>
    <w:uiPriority w:val="39"/>
    <w:pPr>
      <w:spacing w:line="580" w:lineRule="exact"/>
      <w:ind w:firstLine="0" w:firstLineChars="0"/>
    </w:pPr>
    <w:rPr>
      <w:rFonts w:ascii="Times New Roman" w:hAnsi="Times New Roman"/>
    </w:rPr>
  </w:style>
  <w:style w:type="paragraph" w:styleId="20">
    <w:name w:val="toc 4"/>
    <w:basedOn w:val="1"/>
    <w:next w:val="1"/>
    <w:autoRedefine/>
    <w:qFormat/>
    <w:uiPriority w:val="39"/>
    <w:pPr>
      <w:ind w:left="1260" w:leftChars="600"/>
    </w:p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 w:firstLine="0" w:firstLineChars="0"/>
    </w:pPr>
    <w:rPr>
      <w:rFonts w:asciiTheme="minorHAnsi" w:hAnsiTheme="minorHAnsi" w:eastAsiaTheme="minorEastAsia"/>
      <w:sz w:val="21"/>
      <w:szCs w:val="22"/>
    </w:rPr>
  </w:style>
  <w:style w:type="paragraph" w:styleId="22">
    <w:name w:val="toc 2"/>
    <w:basedOn w:val="1"/>
    <w:next w:val="1"/>
    <w:autoRedefine/>
    <w:qFormat/>
    <w:uiPriority w:val="39"/>
    <w:pPr>
      <w:ind w:firstLine="0" w:firstLineChars="0"/>
    </w:pPr>
  </w:style>
  <w:style w:type="paragraph" w:styleId="23">
    <w:name w:val="toc 9"/>
    <w:basedOn w:val="1"/>
    <w:next w:val="1"/>
    <w:autoRedefine/>
    <w:unhideWhenUsed/>
    <w:qFormat/>
    <w:uiPriority w:val="39"/>
    <w:pPr>
      <w:ind w:left="3360" w:leftChars="1600" w:firstLine="0" w:firstLineChars="0"/>
    </w:pPr>
    <w:rPr>
      <w:rFonts w:asciiTheme="minorHAnsi" w:hAnsiTheme="minorHAnsi" w:eastAsiaTheme="minorEastAsia"/>
      <w:sz w:val="21"/>
      <w:szCs w:val="22"/>
    </w:rPr>
  </w:style>
  <w:style w:type="paragraph" w:styleId="24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26">
    <w:name w:val="Table Grid"/>
    <w:basedOn w:val="2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">
    <w:name w:val="大标题"/>
    <w:basedOn w:val="1"/>
    <w:next w:val="1"/>
    <w:autoRedefine/>
    <w:qFormat/>
    <w:uiPriority w:val="0"/>
    <w:pPr>
      <w:keepNext/>
      <w:keepLines/>
      <w:pageBreakBefore/>
      <w:spacing w:after="280" w:line="700" w:lineRule="exact"/>
      <w:ind w:firstLine="0" w:firstLineChars="0"/>
      <w:jc w:val="center"/>
      <w:outlineLvl w:val="3"/>
    </w:pPr>
    <w:rPr>
      <w:rFonts w:hint="eastAsia" w:eastAsia="方正小标宋简体"/>
      <w:sz w:val="44"/>
    </w:rPr>
  </w:style>
  <w:style w:type="character" w:customStyle="1" w:styleId="29">
    <w:name w:val="标题 1 字符"/>
    <w:link w:val="3"/>
    <w:autoRedefine/>
    <w:qFormat/>
    <w:uiPriority w:val="0"/>
    <w:rPr>
      <w:rFonts w:ascii="Times New Roman" w:hAnsi="Times New Roman" w:eastAsia="方正小标宋简体"/>
      <w:kern w:val="44"/>
      <w:sz w:val="44"/>
    </w:rPr>
  </w:style>
  <w:style w:type="paragraph" w:customStyle="1" w:styleId="30">
    <w:name w:val="图片表格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ind w:firstLine="0" w:firstLineChars="0"/>
      <w:jc w:val="center"/>
    </w:pPr>
    <w:rPr>
      <w:rFonts w:hint="eastAsia" w:ascii="Times New Roman" w:hAnsi="Times New Roman" w:eastAsia="宋体"/>
      <w:sz w:val="24"/>
    </w:rPr>
  </w:style>
  <w:style w:type="character" w:customStyle="1" w:styleId="31">
    <w:name w:val="标题 2 字符"/>
    <w:link w:val="4"/>
    <w:autoRedefine/>
    <w:qFormat/>
    <w:uiPriority w:val="0"/>
    <w:rPr>
      <w:rFonts w:ascii="Times New Roman" w:hAnsi="Times New Roman" w:eastAsia="楷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chart" Target="charts/chart16.xml"/><Relationship Id="rId21" Type="http://schemas.openxmlformats.org/officeDocument/2006/relationships/chart" Target="charts/chart15.xml"/><Relationship Id="rId20" Type="http://schemas.openxmlformats.org/officeDocument/2006/relationships/chart" Target="charts/chart14.xml"/><Relationship Id="rId2" Type="http://schemas.openxmlformats.org/officeDocument/2006/relationships/settings" Target="settings.xml"/><Relationship Id="rId19" Type="http://schemas.openxmlformats.org/officeDocument/2006/relationships/chart" Target="charts/chart13.xml"/><Relationship Id="rId18" Type="http://schemas.openxmlformats.org/officeDocument/2006/relationships/chart" Target="charts/chart12.xml"/><Relationship Id="rId17" Type="http://schemas.openxmlformats.org/officeDocument/2006/relationships/chart" Target="charts/chart11.xml"/><Relationship Id="rId16" Type="http://schemas.openxmlformats.org/officeDocument/2006/relationships/chart" Target="charts/chart10.xml"/><Relationship Id="rId15" Type="http://schemas.openxmlformats.org/officeDocument/2006/relationships/chart" Target="charts/chart9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5.xml"/><Relationship Id="rId2" Type="http://schemas.microsoft.com/office/2011/relationships/chartStyle" Target="style15.xml"/><Relationship Id="rId1" Type="http://schemas.openxmlformats.org/officeDocument/2006/relationships/oleObject" Target="file:///C:\Users\liu-5\Desktop\2023-2024&#20844;&#25253;&#25552;&#35201;\2023-2024&#20844;&#25253;&#35745;&#31639;&#12289;&#30011;&#22270;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ColorStyle" Target="colors13.xml"/><Relationship Id="rId2" Type="http://schemas.microsoft.com/office/2011/relationships/chartStyle" Target="style13.xml"/><Relationship Id="rId1" Type="http://schemas.openxmlformats.org/officeDocument/2006/relationships/oleObject" Target="file:///C:\Users\liu-5\Desktop\2023-2024&#20844;&#25253;&#25552;&#35201;\2023-2024&#20844;&#25253;&#35745;&#31639;&#12289;&#30011;&#22270;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liu-5\Desktop\2023-2024&#20844;&#25253;&#25552;&#35201;\2023-2024&#20844;&#25253;&#35745;&#31639;&#12289;&#30011;&#22270;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liu-5\Desktop\2023-2024&#20844;&#25253;&#25552;&#35201;\2023-2024&#20844;&#25253;&#35745;&#31639;&#12289;&#30011;&#22270;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liu-5\Desktop\2023-2024&#20844;&#25253;&#25552;&#35201;\2023-2024&#20844;&#25253;&#35745;&#31639;&#12289;&#30011;&#22270;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liu-5\Desktop\2023-2024&#20844;&#25253;&#25552;&#35201;\2023-2024&#20844;&#25253;&#35745;&#31639;&#12289;&#30011;&#22270;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liu-5\Desktop\2023-2024&#20844;&#25253;&#25552;&#35201;\2023-2024&#20844;&#25253;&#35745;&#31639;&#12289;&#30011;&#22270;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liu-5\Desktop\2023-2024&#20844;&#25253;&#25552;&#35201;\2023-2024&#20844;&#25253;&#35745;&#31639;&#12289;&#30011;&#2227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6.xml"/><Relationship Id="rId2" Type="http://schemas.microsoft.com/office/2011/relationships/chartStyle" Target="style16.xml"/><Relationship Id="rId1" Type="http://schemas.openxmlformats.org/officeDocument/2006/relationships/oleObject" Target="file:///C:\Users\liu-5\Desktop\2023-2024&#20844;&#25253;&#25552;&#35201;\2023-2024&#20844;&#25253;&#35745;&#31639;&#12289;&#30011;&#2227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1.xml"/><Relationship Id="rId2" Type="http://schemas.microsoft.com/office/2011/relationships/chartStyle" Target="style11.xml"/><Relationship Id="rId1" Type="http://schemas.openxmlformats.org/officeDocument/2006/relationships/oleObject" Target="file:///C:\Users\liu-5\Desktop\2023-2024&#20844;&#25253;&#25552;&#35201;\2023-2024&#20844;&#25253;&#35745;&#31639;&#12289;&#30011;&#22270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liu-5\Desktop\2023-2024&#20844;&#25253;&#25552;&#35201;\2023-2024&#20844;&#25253;&#35745;&#31639;&#12289;&#30011;&#22270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12.xml"/><Relationship Id="rId2" Type="http://schemas.microsoft.com/office/2011/relationships/chartStyle" Target="style12.xml"/><Relationship Id="rId1" Type="http://schemas.openxmlformats.org/officeDocument/2006/relationships/oleObject" Target="file:///C:\Users\liu-5\Desktop\2023-2024&#20844;&#25253;&#25552;&#35201;\2023-2024&#20844;&#25253;&#35745;&#31639;&#12289;&#30011;&#22270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14.xml"/><Relationship Id="rId2" Type="http://schemas.microsoft.com/office/2011/relationships/chartStyle" Target="style14.xml"/><Relationship Id="rId1" Type="http://schemas.openxmlformats.org/officeDocument/2006/relationships/oleObject" Target="file:///C:\Users\liu-5\Desktop\2023-2024&#20844;&#25253;&#25552;&#35201;\2023-2024&#20844;&#25253;&#35745;&#31639;&#12289;&#30011;&#22270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oleObject" Target="file:///C:\Users\liu-5\Desktop\2023-2024&#20844;&#25253;&#25552;&#35201;\2023-2024&#20844;&#25253;&#35745;&#31639;&#12289;&#30011;&#22270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file:///C:\Users\liu-5\Desktop\2023-2024&#20844;&#25253;&#25552;&#35201;\2023-2024&#20844;&#25253;&#35745;&#31639;&#12289;&#30011;&#22270;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liu-5\Desktop\2023-2024&#20844;&#25253;&#25552;&#35201;\2023-2024&#20844;&#25253;&#35745;&#31639;&#12289;&#30011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61805890873974"/>
          <c:y val="0.17864829961257"/>
          <c:w val="0.824741670690488"/>
          <c:h val="0.73548572248529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'[2023-2024公报计算、画图.xlsx]地区生产总值'!$B$1</c:f>
              <c:strCache>
                <c:ptCount val="1"/>
                <c:pt idx="0">
                  <c:v>地区生产总值（万元）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extLst>
                <c:ext xmlns:c15="http://schemas.microsoft.com/office/drawing/2012/chart" uri="{02D57815-91ED-43cb-92C2-25804820EDAC}">
                  <c15:fullRef>
                    <c15:sqref>'[2023-2024公报计算、画图.xlsx]地区生产总值'!$A$4:$A$14</c15:sqref>
                  </c15:fullRef>
                </c:ext>
              </c:extLst>
              <c:f>'[2023-2024公报计算、画图.xlsx]地区生产总值'!$A$10:$A$14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地区生产总值!$B$4:$B$14</c15:sqref>
                  </c15:fullRef>
                </c:ext>
              </c:extLst>
              <c:f>'[2023-2024公报计算、画图.xlsx]地区生产总值'!$B$10:$B$14</c:f>
              <c:numCache>
                <c:formatCode>0_ </c:formatCode>
                <c:ptCount val="5"/>
                <c:pt idx="0">
                  <c:v>221522</c:v>
                </c:pt>
                <c:pt idx="1">
                  <c:v>245106</c:v>
                </c:pt>
                <c:pt idx="2">
                  <c:v>281146</c:v>
                </c:pt>
                <c:pt idx="3" c:formatCode="General">
                  <c:v>295705</c:v>
                </c:pt>
                <c:pt idx="4" c:formatCode="General">
                  <c:v>319914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lineChart>
        <c:grouping val="standard"/>
        <c:varyColors val="0"/>
        <c:ser>
          <c:idx val="2"/>
          <c:order val="1"/>
          <c:tx>
            <c:strRef>
              <c:f>'[2023-2024公报计算、画图.xlsx]地区生产总值'!$C$1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extLst>
                <c:ext xmlns:c15="http://schemas.microsoft.com/office/drawing/2012/chart" uri="{02D57815-91ED-43cb-92C2-25804820EDAC}">
                  <c15:fullRef>
                    <c15:sqref>'[2023-2024公报计算、画图.xlsx]地区生产总值'!$A$4:$A$14</c15:sqref>
                  </c15:fullRef>
                </c:ext>
              </c:extLst>
              <c:f>'[2023-2024公报计算、画图.xlsx]地区生产总值'!$A$10:$A$14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地区生产总值!$C$4:$C$14</c15:sqref>
                  </c15:fullRef>
                </c:ext>
              </c:extLst>
              <c:f>'[2023-2024公报计算、画图.xlsx]地区生产总值'!$C$10:$C$14</c:f>
              <c:numCache>
                <c:formatCode>0.0_ </c:formatCode>
                <c:ptCount val="5"/>
                <c:pt idx="0">
                  <c:v>3.8</c:v>
                </c:pt>
                <c:pt idx="1">
                  <c:v>5.3</c:v>
                </c:pt>
                <c:pt idx="2">
                  <c:v>6.1</c:v>
                </c:pt>
                <c:pt idx="3">
                  <c:v>2.1</c:v>
                </c:pt>
                <c:pt idx="4">
                  <c:v>8.85803343723435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9207094"/>
        <c:axId val="245955864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catAx>
        <c:axId val="31920709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245955864"/>
        <c:crosses val="autoZero"/>
        <c:auto val="1"/>
        <c:lblAlgn val="ctr"/>
        <c:lblOffset val="100"/>
        <c:noMultiLvlLbl val="0"/>
      </c:catAx>
      <c:valAx>
        <c:axId val="245955864"/>
        <c:scaling>
          <c:orientation val="minMax"/>
          <c:max val="40"/>
          <c:min val="-5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31920709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59536455818445"/>
          <c:y val="0.09455253874225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1691550588039"/>
          <c:y val="0.141857862339116"/>
          <c:w val="0.829276837100676"/>
          <c:h val="0.77232792389479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'[2023-2024公报计算、画图.xlsx]一般公共预算支出'!$B$1</c:f>
              <c:strCache>
                <c:ptCount val="1"/>
                <c:pt idx="0">
                  <c:v>一般公共预算支出（万元）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dLbl>
              <c:idx val="4"/>
              <c:layout>
                <c:manualLayout>
                  <c:x val="-0.000100463921712302"/>
                  <c:y val="0.0117221983489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'[2023-2024公报计算、画图.xlsx]一般公共预算支出'!$A$4:$A$8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'[2023-2024公报计算、画图.xlsx]一般公共预算支出'!$B$4:$B$8</c:f>
              <c:numCache>
                <c:formatCode>General</c:formatCode>
                <c:ptCount val="5"/>
                <c:pt idx="0">
                  <c:v>152404</c:v>
                </c:pt>
                <c:pt idx="1">
                  <c:v>159383</c:v>
                </c:pt>
                <c:pt idx="2">
                  <c:v>138196</c:v>
                </c:pt>
                <c:pt idx="3">
                  <c:v>167421</c:v>
                </c:pt>
                <c:pt idx="4">
                  <c:v>194608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lineChart>
        <c:grouping val="standard"/>
        <c:varyColors val="0"/>
        <c:ser>
          <c:idx val="2"/>
          <c:order val="1"/>
          <c:tx>
            <c:strRef>
              <c:f>'[2023-2024公报计算、画图.xlsx]一般公共预算支出'!$C$1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-0.00147125396106836"/>
                  <c:y val="0.0189825360668185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'[2023-2024公报计算、画图.xlsx]一般公共预算支出'!$A$4:$A$8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'[2023-2024公报计算、画图.xlsx]一般公共预算支出'!$C$4:$C$8</c:f>
              <c:numCache>
                <c:formatCode>0.00_ </c:formatCode>
                <c:ptCount val="5"/>
                <c:pt idx="0">
                  <c:v>7.60638560767064</c:v>
                </c:pt>
                <c:pt idx="1">
                  <c:v>4.57927613448466</c:v>
                </c:pt>
                <c:pt idx="2">
                  <c:v>-13.2931366582383</c:v>
                </c:pt>
                <c:pt idx="3">
                  <c:v>21.147500651249</c:v>
                </c:pt>
                <c:pt idx="4">
                  <c:v>16.2387036273825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9207094"/>
        <c:axId val="245955864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catAx>
        <c:axId val="31920709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245955864"/>
        <c:crosses val="autoZero"/>
        <c:auto val="1"/>
        <c:lblAlgn val="ctr"/>
        <c:lblOffset val="100"/>
        <c:noMultiLvlLbl val="0"/>
      </c:catAx>
      <c:valAx>
        <c:axId val="245955864"/>
        <c:scaling>
          <c:orientation val="minMax"/>
          <c:max val="35"/>
          <c:min val="-20"/>
        </c:scaling>
        <c:delete val="0"/>
        <c:axPos val="r"/>
        <c:numFmt formatCode="0.0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31920709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53192433075046"/>
          <c:y val="0.02187544904054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61805890873974"/>
          <c:y val="0.17864829961257"/>
          <c:w val="0.824741670690488"/>
          <c:h val="0.73548572248529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'[2023-2024公报计算、画图.xlsx]人行储蓄总额'!$B$1</c:f>
              <c:strCache>
                <c:ptCount val="1"/>
                <c:pt idx="0">
                  <c:v>存款余额（万元）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'[2023-2024公报计算、画图.xlsx]人行储蓄总额'!$A$4:$A$8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'[2023-2024公报计算、画图.xlsx]人行储蓄总额'!$B$4:$B$8</c:f>
              <c:numCache>
                <c:formatCode>0_ </c:formatCode>
                <c:ptCount val="5"/>
                <c:pt idx="0">
                  <c:v>323654.1</c:v>
                </c:pt>
                <c:pt idx="1">
                  <c:v>378008.659631</c:v>
                </c:pt>
                <c:pt idx="2">
                  <c:v>410555.107645</c:v>
                </c:pt>
                <c:pt idx="3">
                  <c:v>474040</c:v>
                </c:pt>
                <c:pt idx="4">
                  <c:v>513377.69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lineChart>
        <c:grouping val="standard"/>
        <c:varyColors val="0"/>
        <c:ser>
          <c:idx val="2"/>
          <c:order val="1"/>
          <c:tx>
            <c:strRef>
              <c:f>'[2023-2024公报计算、画图.xlsx]人行储蓄总额'!$C$1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0"/>
                  <c:y val="0.0986289871292669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'[2023-2024公报计算、画图.xlsx]人行储蓄总额'!$A$4:$A$8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'[2023-2024公报计算、画图.xlsx]人行储蓄总额'!$C$4:$C$8</c:f>
              <c:numCache>
                <c:formatCode>0.00_ </c:formatCode>
                <c:ptCount val="5"/>
                <c:pt idx="0">
                  <c:v>6.32808868014922</c:v>
                </c:pt>
                <c:pt idx="1">
                  <c:v>16.7940278312557</c:v>
                </c:pt>
                <c:pt idx="2">
                  <c:v>8.60997418571594</c:v>
                </c:pt>
                <c:pt idx="3">
                  <c:v>15.4631841555103</c:v>
                </c:pt>
                <c:pt idx="4">
                  <c:v>8.29839043118725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9207094"/>
        <c:axId val="245955864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catAx>
        <c:axId val="31920709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245955864"/>
        <c:crosses val="autoZero"/>
        <c:auto val="1"/>
        <c:lblAlgn val="ctr"/>
        <c:lblOffset val="100"/>
        <c:noMultiLvlLbl val="0"/>
      </c:catAx>
      <c:valAx>
        <c:axId val="245955864"/>
        <c:scaling>
          <c:orientation val="minMax"/>
          <c:max val="30"/>
          <c:min val="-5"/>
        </c:scaling>
        <c:delete val="0"/>
        <c:axPos val="r"/>
        <c:numFmt formatCode="0.0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31920709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32584724070459"/>
          <c:y val="0.0399918224579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61805890873974"/>
          <c:y val="0.17864829961257"/>
          <c:w val="0.824741670690488"/>
          <c:h val="0.73548572248529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'[2023-2024公报计算、画图.xlsx]人行居民储蓄'!$B$1</c:f>
              <c:strCache>
                <c:ptCount val="1"/>
                <c:pt idx="0">
                  <c:v>居民储蓄存款（万元）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'[2023-2024公报计算、画图.xlsx]人行居民储蓄'!$A$4:$A$8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'[2023-2024公报计算、画图.xlsx]人行居民储蓄'!$B$4:$B$8</c:f>
              <c:numCache>
                <c:formatCode>0_ </c:formatCode>
                <c:ptCount val="5"/>
                <c:pt idx="0">
                  <c:v>255038.64</c:v>
                </c:pt>
                <c:pt idx="1">
                  <c:v>295490.261221</c:v>
                </c:pt>
                <c:pt idx="2">
                  <c:v>338852.757005</c:v>
                </c:pt>
                <c:pt idx="3">
                  <c:v>361436.48</c:v>
                </c:pt>
                <c:pt idx="4">
                  <c:v>425693.59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lineChart>
        <c:grouping val="standard"/>
        <c:varyColors val="0"/>
        <c:ser>
          <c:idx val="2"/>
          <c:order val="1"/>
          <c:tx>
            <c:strRef>
              <c:f>'[2023-2024公报计算、画图.xlsx]人行居民储蓄'!$C$1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00125114688464426"/>
                  <c:y val="0.13640179071068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125114688464426"/>
                  <c:y val="0.0944320089535534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'[2023-2024公报计算、画图.xlsx]人行居民储蓄'!$A$4:$A$8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'[2023-2024公报计算、画图.xlsx]人行居民储蓄'!$C$4:$C$8</c:f>
              <c:numCache>
                <c:formatCode>0.00_ </c:formatCode>
                <c:ptCount val="5"/>
                <c:pt idx="0">
                  <c:v>16.0211221072867</c:v>
                </c:pt>
                <c:pt idx="1">
                  <c:v>15.8609774663949</c:v>
                </c:pt>
                <c:pt idx="2">
                  <c:v>14.6747630885773</c:v>
                </c:pt>
                <c:pt idx="3">
                  <c:v>6.66475999623244</c:v>
                </c:pt>
                <c:pt idx="4">
                  <c:v>17.7782580219905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9207094"/>
        <c:axId val="245955864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catAx>
        <c:axId val="31920709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245955864"/>
        <c:crosses val="autoZero"/>
        <c:auto val="1"/>
        <c:lblAlgn val="ctr"/>
        <c:lblOffset val="100"/>
        <c:noMultiLvlLbl val="0"/>
      </c:catAx>
      <c:valAx>
        <c:axId val="245955864"/>
        <c:scaling>
          <c:orientation val="minMax"/>
          <c:max val="30"/>
          <c:min val="-5"/>
        </c:scaling>
        <c:delete val="0"/>
        <c:axPos val="r"/>
        <c:numFmt formatCode="0.0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31920709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50778427625935"/>
          <c:y val="0.05887822424868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61805890873974"/>
          <c:y val="0.17864829961257"/>
          <c:w val="0.824741670690488"/>
          <c:h val="0.73548572248529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'[2023-2024公报计算、画图.xlsx]人行贷款余额'!$B$1</c:f>
              <c:strCache>
                <c:ptCount val="1"/>
                <c:pt idx="0">
                  <c:v>贷款余额（万元）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'[2023-2024公报计算、画图.xlsx]人行贷款余额'!$A$4:$A$8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'[2023-2024公报计算、画图.xlsx]人行贷款余额'!$B$4:$B$8</c:f>
              <c:numCache>
                <c:formatCode>0_ </c:formatCode>
                <c:ptCount val="5"/>
                <c:pt idx="0">
                  <c:v>81503.17</c:v>
                </c:pt>
                <c:pt idx="1">
                  <c:v>92226.98</c:v>
                </c:pt>
                <c:pt idx="2">
                  <c:v>97018.42</c:v>
                </c:pt>
                <c:pt idx="3">
                  <c:v>105305.89</c:v>
                </c:pt>
                <c:pt idx="4">
                  <c:v>127243.46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lineChart>
        <c:grouping val="standard"/>
        <c:varyColors val="0"/>
        <c:ser>
          <c:idx val="2"/>
          <c:order val="1"/>
          <c:tx>
            <c:strRef>
              <c:f>'[2023-2024公报计算、画图.xlsx]人行贷款余额'!$C$1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'[2023-2024公报计算、画图.xlsx]人行贷款余额'!$A$4:$A$8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'[2023-2024公报计算、画图.xlsx]人行贷款余额'!$C$4:$C$8</c:f>
              <c:numCache>
                <c:formatCode>0.00_ </c:formatCode>
                <c:ptCount val="5"/>
                <c:pt idx="0">
                  <c:v>17.1411008133157</c:v>
                </c:pt>
                <c:pt idx="1">
                  <c:v>13.1575373080581</c:v>
                </c:pt>
                <c:pt idx="2">
                  <c:v>5.19526932357539</c:v>
                </c:pt>
                <c:pt idx="3">
                  <c:v>8.54216137512855</c:v>
                </c:pt>
                <c:pt idx="4">
                  <c:v>20.8322345502232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9207094"/>
        <c:axId val="245955864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catAx>
        <c:axId val="31920709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245955864"/>
        <c:crosses val="autoZero"/>
        <c:auto val="1"/>
        <c:lblAlgn val="ctr"/>
        <c:lblOffset val="100"/>
        <c:noMultiLvlLbl val="0"/>
      </c:catAx>
      <c:valAx>
        <c:axId val="245955864"/>
        <c:scaling>
          <c:orientation val="minMax"/>
          <c:max val="30"/>
          <c:min val="-5"/>
        </c:scaling>
        <c:delete val="0"/>
        <c:axPos val="r"/>
        <c:numFmt formatCode="0.0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31920709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32584724070459"/>
          <c:y val="0.0399918224579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61805890873974"/>
          <c:y val="0.17864829961257"/>
          <c:w val="0.824741670690488"/>
          <c:h val="0.73548572248529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'[2023-2024公报计算、画图.xlsx]居民平均'!$B$1</c:f>
              <c:strCache>
                <c:ptCount val="1"/>
                <c:pt idx="0">
                  <c:v>全县居民人均可支配收入（元）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'[2023-2024公报计算、画图.xlsx]居民平均'!$A$4:$A$8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'[2023-2024公报计算、画图.xlsx]居民平均'!$B$4:$B$8</c:f>
              <c:numCache>
                <c:formatCode>0_ </c:formatCode>
                <c:ptCount val="5"/>
                <c:pt idx="0">
                  <c:v>14774</c:v>
                </c:pt>
                <c:pt idx="1">
                  <c:v>16735</c:v>
                </c:pt>
                <c:pt idx="2">
                  <c:v>19106</c:v>
                </c:pt>
                <c:pt idx="3">
                  <c:v>20436.8647795906</c:v>
                </c:pt>
                <c:pt idx="4">
                  <c:v>22039.9840276767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lineChart>
        <c:grouping val="standard"/>
        <c:varyColors val="0"/>
        <c:ser>
          <c:idx val="2"/>
          <c:order val="1"/>
          <c:tx>
            <c:strRef>
              <c:f>'[2023-2024公报计算、画图.xlsx]居民平均'!$C$1</c:f>
              <c:strCache>
                <c:ptCount val="1"/>
                <c:pt idx="0">
                  <c:v>增长速度（%）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'[2023-2024公报计算、画图.xlsx]居民平均'!$A$4:$A$8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'[2023-2024公报计算、画图.xlsx]居民平均'!$C$4:$C$8</c:f>
              <c:numCache>
                <c:formatCode>0.0_ </c:formatCode>
                <c:ptCount val="5"/>
                <c:pt idx="0">
                  <c:v>12.1</c:v>
                </c:pt>
                <c:pt idx="1">
                  <c:v>13.3</c:v>
                </c:pt>
                <c:pt idx="2">
                  <c:v>14.2</c:v>
                </c:pt>
                <c:pt idx="3">
                  <c:v>6.96400509575776</c:v>
                </c:pt>
                <c:pt idx="4">
                  <c:v>7.84425236148321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9207094"/>
        <c:axId val="245955864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catAx>
        <c:axId val="31920709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245955864"/>
        <c:crosses val="autoZero"/>
        <c:auto val="1"/>
        <c:lblAlgn val="ctr"/>
        <c:lblOffset val="100"/>
        <c:noMultiLvlLbl val="0"/>
      </c:catAx>
      <c:valAx>
        <c:axId val="245955864"/>
        <c:scaling>
          <c:orientation val="minMax"/>
          <c:max val="40"/>
          <c:min val="-5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31920709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59536455818445"/>
          <c:y val="0.09455253874225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61805890873974"/>
          <c:y val="0.17864829961257"/>
          <c:w val="0.824741670690488"/>
          <c:h val="0.73548572248529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'[2023-2024公报计算、画图.xlsx]居民收入消费1'!$B$1</c:f>
              <c:strCache>
                <c:ptCount val="1"/>
                <c:pt idx="0">
                  <c:v>全县城镇常住居民人均可支配收入（元）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'[2023-2024公报计算、画图.xlsx]居民收入消费1'!$A$4:$A$8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'[2023-2024公报计算、画图.xlsx]居民收入消费1'!$B$4:$B$8</c:f>
              <c:numCache>
                <c:formatCode>0_ </c:formatCode>
                <c:ptCount val="5"/>
                <c:pt idx="0">
                  <c:v>29024</c:v>
                </c:pt>
                <c:pt idx="1">
                  <c:v>30359</c:v>
                </c:pt>
                <c:pt idx="2">
                  <c:v>32271</c:v>
                </c:pt>
                <c:pt idx="3">
                  <c:v>33917.3398566799</c:v>
                </c:pt>
                <c:pt idx="4">
                  <c:v>36121.9669473641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lineChart>
        <c:grouping val="standard"/>
        <c:varyColors val="0"/>
        <c:ser>
          <c:idx val="2"/>
          <c:order val="1"/>
          <c:tx>
            <c:strRef>
              <c:f>'[2023-2024公报计算、画图.xlsx]居民收入消费1'!$C$1</c:f>
              <c:strCache>
                <c:ptCount val="1"/>
                <c:pt idx="0">
                  <c:v>增长速度（%）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'[2023-2024公报计算、画图.xlsx]居民收入消费1'!$A$4:$A$8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'[2023-2024公报计算、画图.xlsx]居民收入消费1'!$C$4:$C$8</c:f>
              <c:numCache>
                <c:formatCode>0.0_ </c:formatCode>
                <c:ptCount val="5"/>
                <c:pt idx="0">
                  <c:v>7</c:v>
                </c:pt>
                <c:pt idx="1">
                  <c:v>4.6</c:v>
                </c:pt>
                <c:pt idx="2">
                  <c:v>6.3</c:v>
                </c:pt>
                <c:pt idx="3">
                  <c:v>5.1</c:v>
                </c:pt>
                <c:pt idx="4">
                  <c:v>6.5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9207094"/>
        <c:axId val="245955864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catAx>
        <c:axId val="31920709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245955864"/>
        <c:crosses val="autoZero"/>
        <c:auto val="1"/>
        <c:lblAlgn val="ctr"/>
        <c:lblOffset val="100"/>
        <c:noMultiLvlLbl val="0"/>
      </c:catAx>
      <c:valAx>
        <c:axId val="245955864"/>
        <c:scaling>
          <c:orientation val="minMax"/>
          <c:max val="40"/>
          <c:min val="-5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31920709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59536455818445"/>
          <c:y val="0.09455253874225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61805890873974"/>
          <c:y val="0.17864829961257"/>
          <c:w val="0.824741670690488"/>
          <c:h val="0.73548572248529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'[2023-2024公报计算、画图.xlsx]居民收入消费2'!$B$1</c:f>
              <c:strCache>
                <c:ptCount val="1"/>
                <c:pt idx="0">
                  <c:v>全县农村常住居民人均可支配收入（元）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'[2023-2024公报计算、画图.xlsx]居民收入消费2'!$A$4:$A$8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'[2023-2024公报计算、画图.xlsx]居民收入消费2'!$B$4:$B$8</c:f>
              <c:numCache>
                <c:formatCode>0_ </c:formatCode>
                <c:ptCount val="5"/>
                <c:pt idx="0">
                  <c:v>4962</c:v>
                </c:pt>
                <c:pt idx="1">
                  <c:v>5980</c:v>
                </c:pt>
                <c:pt idx="2">
                  <c:v>7265</c:v>
                </c:pt>
                <c:pt idx="3">
                  <c:v>8115.34331151569</c:v>
                </c:pt>
                <c:pt idx="4">
                  <c:v>8910.64695604422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lineChart>
        <c:grouping val="standard"/>
        <c:varyColors val="0"/>
        <c:ser>
          <c:idx val="2"/>
          <c:order val="1"/>
          <c:tx>
            <c:strRef>
              <c:f>'[2023-2024公报计算、画图.xlsx]居民收入消费2'!$C$1</c:f>
              <c:strCache>
                <c:ptCount val="1"/>
                <c:pt idx="0">
                  <c:v>增长速度（%）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.00282933454051607"/>
                  <c:y val="0.128132118451025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418741511996378"/>
                  <c:y val="0.13041002277904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'[2023-2024公报计算、画图.xlsx]居民收入消费2'!$A$4:$A$8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'[2023-2024公报计算、画图.xlsx]居民收入消费2'!$C$4:$C$8</c:f>
              <c:numCache>
                <c:formatCode>0.0_ </c:formatCode>
                <c:ptCount val="5"/>
                <c:pt idx="0">
                  <c:v>16.3</c:v>
                </c:pt>
                <c:pt idx="1">
                  <c:v>20.5</c:v>
                </c:pt>
                <c:pt idx="2">
                  <c:v>21.5</c:v>
                </c:pt>
                <c:pt idx="3">
                  <c:v>11.7</c:v>
                </c:pt>
                <c:pt idx="4">
                  <c:v>9.8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9207094"/>
        <c:axId val="245955864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catAx>
        <c:axId val="31920709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245955864"/>
        <c:crosses val="autoZero"/>
        <c:auto val="1"/>
        <c:lblAlgn val="ctr"/>
        <c:lblOffset val="100"/>
        <c:noMultiLvlLbl val="0"/>
      </c:catAx>
      <c:valAx>
        <c:axId val="245955864"/>
        <c:scaling>
          <c:orientation val="minMax"/>
          <c:max val="40"/>
          <c:min val="-5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31920709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59536455818445"/>
          <c:y val="0.09455253874225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841795478882"/>
          <c:y val="0.141663427196141"/>
          <c:w val="0.883893839225831"/>
          <c:h val="0.764918357248887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'[2023-2024公报计算、画图.xlsx]地区生产总值占比'!$B$1</c:f>
              <c:strCache>
                <c:ptCount val="1"/>
                <c:pt idx="0">
                  <c:v>第一产业（%）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'[2023-2024公报计算、画图.xlsx]地区生产总值占比'!$A$4:$A$8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'[2023-2024公报计算、画图.xlsx]地区生产总值占比'!$B$4:$B$8</c:f>
              <c:numCache>
                <c:formatCode>0.00_ </c:formatCode>
                <c:ptCount val="5"/>
                <c:pt idx="0">
                  <c:v>13.6528200359332</c:v>
                </c:pt>
                <c:pt idx="1">
                  <c:v>18.1713217954681</c:v>
                </c:pt>
                <c:pt idx="2">
                  <c:v>16.3271040669261</c:v>
                </c:pt>
                <c:pt idx="3">
                  <c:v>15.7</c:v>
                </c:pt>
                <c:pt idx="4">
                  <c:v>16.1652819195159</c:v>
                </c:pt>
              </c:numCache>
            </c:numRef>
          </c:val>
        </c:ser>
        <c:ser>
          <c:idx val="2"/>
          <c:order val="1"/>
          <c:tx>
            <c:strRef>
              <c:f>'[2023-2024公报计算、画图.xlsx]地区生产总值占比'!$C$1</c:f>
              <c:strCache>
                <c:ptCount val="1"/>
                <c:pt idx="0">
                  <c:v>第二产业（%）</c:v>
                </c:pt>
              </c:strCache>
            </c:strRef>
          </c:tx>
          <c:spPr>
            <a:pattFill prst="pct5">
              <a:fgClr>
                <a:schemeClr val="accent3">
                  <a:tint val="86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'[2023-2024公报计算、画图.xlsx]地区生产总值占比'!$A$4:$A$8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'[2023-2024公报计算、画图.xlsx]地区生产总值占比'!$C$4:$C$8</c:f>
              <c:numCache>
                <c:formatCode>0.00_ </c:formatCode>
                <c:ptCount val="5"/>
                <c:pt idx="0">
                  <c:v>18.6184667888517</c:v>
                </c:pt>
                <c:pt idx="1">
                  <c:v>20.9831664667532</c:v>
                </c:pt>
                <c:pt idx="2">
                  <c:v>28.1241774736258</c:v>
                </c:pt>
                <c:pt idx="3">
                  <c:v>28.94</c:v>
                </c:pt>
                <c:pt idx="4">
                  <c:v>29.6839150521703</c:v>
                </c:pt>
              </c:numCache>
            </c:numRef>
          </c:val>
        </c:ser>
        <c:ser>
          <c:idx val="3"/>
          <c:order val="2"/>
          <c:tx>
            <c:strRef>
              <c:f>'[2023-2024公报计算、画图.xlsx]地区生产总值占比'!$D$1</c:f>
              <c:strCache>
                <c:ptCount val="1"/>
                <c:pt idx="0">
                  <c:v>第三产业（%）</c:v>
                </c:pt>
              </c:strCache>
            </c:strRef>
          </c:tx>
          <c:spPr>
            <a:pattFill prst="pct30">
              <a:fgClr>
                <a:schemeClr val="accent3">
                  <a:tint val="58000"/>
                </a:schemeClr>
              </a:fgClr>
              <a:bgClr>
                <a:schemeClr val="bg1"/>
              </a:bgClr>
            </a:pattFill>
            <a:ln cap="sq"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'[2023-2024公报计算、画图.xlsx]地区生产总值占比'!$A$4:$A$8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'[2023-2024公报计算、画图.xlsx]地区生产总值占比'!$D$4:$D$8</c:f>
              <c:numCache>
                <c:formatCode>0.00_ </c:formatCode>
                <c:ptCount val="5"/>
                <c:pt idx="0">
                  <c:v>67.7287131752151</c:v>
                </c:pt>
                <c:pt idx="1">
                  <c:v>60.8455117377788</c:v>
                </c:pt>
                <c:pt idx="2">
                  <c:v>55.5487184594481</c:v>
                </c:pt>
                <c:pt idx="3">
                  <c:v>55.36</c:v>
                </c:pt>
                <c:pt idx="4">
                  <c:v>54.1508030283139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100"/>
        <c:axId val="421477352"/>
        <c:axId val="445514538"/>
      </c:barChart>
      <c:catAx>
        <c:axId val="42147735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sq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5514538"/>
        <c:crosses val="autoZero"/>
        <c:auto val="1"/>
        <c:lblAlgn val="ctr"/>
        <c:lblOffset val="100"/>
        <c:noMultiLvlLbl val="0"/>
      </c:catAx>
      <c:valAx>
        <c:axId val="44551453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accent1">
                  <a:alpha val="30000"/>
                </a:schemeClr>
              </a:solidFill>
              <a:round/>
            </a:ln>
            <a:effectLst/>
          </c:spPr>
        </c:majorGridlines>
        <c:numFmt formatCode="0.0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21477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66968325791855"/>
          <c:y val="0.0173611111111111"/>
          <c:w val="0.690950226244344"/>
          <c:h val="0.084027777777777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200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61805890873974"/>
          <c:y val="0.17864829961257"/>
          <c:w val="0.824741670690488"/>
          <c:h val="0.73548572248529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'[2023-2024公报计算、画图.xlsx]人口及城镇化率'!$B$1</c:f>
              <c:strCache>
                <c:ptCount val="1"/>
                <c:pt idx="0">
                  <c:v>常住人口（人）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'[2023-2024公报计算、画图.xlsx]人口及城镇化率'!$A$4:$A$13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'[2023-2024公报计算、画图.xlsx]人口及城镇化率'!$B$4:$B$13</c:f>
              <c:numCache>
                <c:formatCode>0_ </c:formatCode>
                <c:ptCount val="10"/>
                <c:pt idx="0">
                  <c:v>127558</c:v>
                </c:pt>
                <c:pt idx="1">
                  <c:v>123709</c:v>
                </c:pt>
                <c:pt idx="2">
                  <c:v>120017</c:v>
                </c:pt>
                <c:pt idx="3">
                  <c:v>116721</c:v>
                </c:pt>
                <c:pt idx="4">
                  <c:v>112503</c:v>
                </c:pt>
                <c:pt idx="5">
                  <c:v>108466</c:v>
                </c:pt>
                <c:pt idx="6">
                  <c:v>104156</c:v>
                </c:pt>
                <c:pt idx="7">
                  <c:v>98509</c:v>
                </c:pt>
                <c:pt idx="8" c:formatCode="General">
                  <c:v>98132</c:v>
                </c:pt>
                <c:pt idx="9" c:formatCode="General">
                  <c:v>96637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lineChart>
        <c:grouping val="standard"/>
        <c:varyColors val="0"/>
        <c:ser>
          <c:idx val="2"/>
          <c:order val="1"/>
          <c:tx>
            <c:strRef>
              <c:f>'[2023-2024公报计算、画图.xlsx]人口及城镇化率'!$C$1</c:f>
              <c:strCache>
                <c:ptCount val="1"/>
                <c:pt idx="0">
                  <c:v>城镇化率（%）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'[2023-2024公报计算、画图.xlsx]人口及城镇化率'!$A$4:$A$13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'[2023-2024公报计算、画图.xlsx]人口及城镇化率'!$C$4:$C$13</c:f>
              <c:numCache>
                <c:formatCode>0.0_ </c:formatCode>
                <c:ptCount val="10"/>
                <c:pt idx="0">
                  <c:v>40.8559243638188</c:v>
                </c:pt>
                <c:pt idx="1">
                  <c:v>42.226515451584</c:v>
                </c:pt>
                <c:pt idx="2">
                  <c:v>43.4646758375897</c:v>
                </c:pt>
                <c:pt idx="3">
                  <c:v>44.5703857917598</c:v>
                </c:pt>
                <c:pt idx="4">
                  <c:v>45.8823320267015</c:v>
                </c:pt>
                <c:pt idx="5">
                  <c:v>47.381752069773</c:v>
                </c:pt>
                <c:pt idx="6">
                  <c:v>48.1858</c:v>
                </c:pt>
                <c:pt idx="7">
                  <c:v>49.1762174014557</c:v>
                </c:pt>
                <c:pt idx="8">
                  <c:v>49.83</c:v>
                </c:pt>
                <c:pt idx="9">
                  <c:v>50.975299315997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9207094"/>
        <c:axId val="245955864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catAx>
        <c:axId val="31920709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245955864"/>
        <c:crosses val="autoZero"/>
        <c:auto val="1"/>
        <c:lblAlgn val="ctr"/>
        <c:lblOffset val="100"/>
        <c:noMultiLvlLbl val="0"/>
      </c:catAx>
      <c:valAx>
        <c:axId val="245955864"/>
        <c:scaling>
          <c:orientation val="minMax"/>
          <c:max val="80"/>
          <c:min val="30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31920709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84912395668069"/>
          <c:y val="0.0443046491536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2"/>
          <c:order val="0"/>
          <c:tx>
            <c:strRef>
              <c:f>'[2023-2024公报计算、画图.xlsx]工业'!$B$1</c:f>
              <c:strCache>
                <c:ptCount val="1"/>
                <c:pt idx="0">
                  <c:v>规模以上工业增加值增长速度（%）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-0.00144857556735876"/>
                  <c:y val="0.10034305317324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extLst>
                <c:ext xmlns:c15="http://schemas.microsoft.com/office/drawing/2012/chart" uri="{02D57815-91ED-43cb-92C2-25804820EDAC}">
                  <c15:fullRef>
                    <c15:sqref>'[2023-2024公报计算、画图.xlsx]工业'!$A$4:$A$9</c15:sqref>
                  </c15:fullRef>
                </c:ext>
              </c:extLst>
              <c:f>'[2023-2024公报计算、画图.xlsx]工业'!$A$5:$A$9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工业!$B$4:$B$9</c15:sqref>
                  </c15:fullRef>
                </c:ext>
              </c:extLst>
              <c:f>'[2023-2024公报计算、画图.xlsx]工业'!$B$5:$B$9</c:f>
              <c:numCache>
                <c:formatCode>0.0_ </c:formatCode>
                <c:ptCount val="5"/>
                <c:pt idx="0">
                  <c:v>0.4</c:v>
                </c:pt>
                <c:pt idx="1">
                  <c:v>21.3</c:v>
                </c:pt>
                <c:pt idx="2">
                  <c:v>10.1</c:v>
                </c:pt>
                <c:pt idx="3">
                  <c:v>-11.3</c:v>
                </c:pt>
                <c:pt idx="4">
                  <c:v>25.23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855559167"/>
        <c:axId val="982675072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7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_ 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315786497794866"/>
          <c:y val="0.006025306286402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929406084017383"/>
          <c:y val="0.201130856219709"/>
          <c:w val="0.824741670690488"/>
          <c:h val="0.70219709208400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'[2023-2024公报计算、画图.xlsx]服务业'!$B$1</c:f>
              <c:strCache>
                <c:ptCount val="1"/>
                <c:pt idx="0">
                  <c:v>服务业增加值（万元）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'[2023-2024公报计算、画图.xlsx]服务业'!$A$4:$A$8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'[2023-2024公报计算、画图.xlsx]服务业'!$B$4:$B$8</c:f>
              <c:numCache>
                <c:formatCode>0_ </c:formatCode>
                <c:ptCount val="5"/>
                <c:pt idx="0">
                  <c:v>150034</c:v>
                </c:pt>
                <c:pt idx="1">
                  <c:v>149136</c:v>
                </c:pt>
                <c:pt idx="2">
                  <c:v>160477</c:v>
                </c:pt>
                <c:pt idx="3" c:formatCode="General">
                  <c:v>163703</c:v>
                </c:pt>
                <c:pt idx="4" c:formatCode="General">
                  <c:v>173236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lineChart>
        <c:grouping val="standard"/>
        <c:varyColors val="0"/>
        <c:ser>
          <c:idx val="2"/>
          <c:order val="1"/>
          <c:tx>
            <c:strRef>
              <c:f>'[2023-2024公报计算、画图.xlsx]服务业'!$C$1</c:f>
              <c:strCache>
                <c:ptCount val="1"/>
                <c:pt idx="0">
                  <c:v>增速（%）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'[2023-2024公报计算、画图.xlsx]服务业'!$A$4:$A$8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'[2023-2024公报计算、画图.xlsx]服务业'!$C$4:$C$8</c:f>
              <c:numCache>
                <c:formatCode>0.0_ </c:formatCode>
                <c:ptCount val="5"/>
                <c:pt idx="0">
                  <c:v>4.5</c:v>
                </c:pt>
                <c:pt idx="1">
                  <c:v>2</c:v>
                </c:pt>
                <c:pt idx="2">
                  <c:v>4.1</c:v>
                </c:pt>
                <c:pt idx="3">
                  <c:v>4.5</c:v>
                </c:pt>
                <c:pt idx="4">
                  <c:v>5.42637096375414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9207094"/>
        <c:axId val="245955864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catAx>
        <c:axId val="31920709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245955864"/>
        <c:crosses val="autoZero"/>
        <c:auto val="1"/>
        <c:lblAlgn val="ctr"/>
        <c:lblOffset val="100"/>
        <c:noMultiLvlLbl val="0"/>
      </c:catAx>
      <c:valAx>
        <c:axId val="245955864"/>
        <c:scaling>
          <c:orientation val="minMax"/>
          <c:max val="40"/>
          <c:min val="-5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31920709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95750845002415"/>
          <c:y val="0.0401282528097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943891839690971"/>
          <c:y val="0.261690647482014"/>
          <c:w val="0.824741670690488"/>
          <c:h val="0.66845323741007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'[2023-2024公报计算、画图.xlsx]贸易1'!$B$1</c:f>
              <c:strCache>
                <c:ptCount val="1"/>
                <c:pt idx="0">
                  <c:v>社会消费品零售总额（万元）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'[2023-2024公报计算、画图.xlsx]贸易1'!$A$4:$A$8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'[2023-2024公报计算、画图.xlsx]贸易1'!$B$4:$B$8</c:f>
              <c:numCache>
                <c:formatCode>0.0_ </c:formatCode>
                <c:ptCount val="5"/>
                <c:pt idx="0">
                  <c:v>145156.8</c:v>
                </c:pt>
                <c:pt idx="1">
                  <c:v>147021.8</c:v>
                </c:pt>
                <c:pt idx="2">
                  <c:v>180466.2</c:v>
                </c:pt>
                <c:pt idx="3">
                  <c:v>182090.4</c:v>
                </c:pt>
                <c:pt idx="4">
                  <c:v>203212.8864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lineChart>
        <c:grouping val="standard"/>
        <c:varyColors val="0"/>
        <c:ser>
          <c:idx val="2"/>
          <c:order val="1"/>
          <c:tx>
            <c:strRef>
              <c:f>'[2023-2024公报计算、画图.xlsx]贸易1'!$C$1</c:f>
              <c:strCache>
                <c:ptCount val="1"/>
                <c:pt idx="0">
                  <c:v>增长速度（%）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'[2023-2024公报计算、画图.xlsx]贸易1'!$A$4:$A$8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'[2023-2024公报计算、画图.xlsx]贸易1'!$C$4:$C$8</c:f>
              <c:numCache>
                <c:formatCode>0.0_ </c:formatCode>
                <c:ptCount val="5"/>
                <c:pt idx="0">
                  <c:v>7.3</c:v>
                </c:pt>
                <c:pt idx="1">
                  <c:v>-2.5</c:v>
                </c:pt>
                <c:pt idx="2">
                  <c:v>22.8</c:v>
                </c:pt>
                <c:pt idx="3">
                  <c:v>0.9</c:v>
                </c:pt>
                <c:pt idx="4">
                  <c:v>11.6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9207094"/>
        <c:axId val="245955864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_ 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catAx>
        <c:axId val="31920709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245955864"/>
        <c:crosses val="autoZero"/>
        <c:auto val="1"/>
        <c:lblAlgn val="ctr"/>
        <c:lblOffset val="100"/>
        <c:noMultiLvlLbl val="0"/>
      </c:catAx>
      <c:valAx>
        <c:axId val="245955864"/>
        <c:scaling>
          <c:orientation val="minMax"/>
          <c:max val="40"/>
          <c:min val="-5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31920709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48438800844296"/>
          <c:y val="0.06849548882933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61805890873974"/>
          <c:y val="0.17864829961257"/>
          <c:w val="0.824741670690488"/>
          <c:h val="0.73548572248529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'[2023-2024公报计算、画图.xlsx]投资1'!$B$1</c:f>
              <c:strCache>
                <c:ptCount val="1"/>
                <c:pt idx="0">
                  <c:v>本年完成投资（万元）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'[2023-2024公报计算、画图.xlsx]投资1'!$A$4:$A$8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'[2023-2024公报计算、画图.xlsx]投资1'!$B$4:$B$8</c:f>
              <c:numCache>
                <c:formatCode>General</c:formatCode>
                <c:ptCount val="5"/>
                <c:pt idx="0">
                  <c:v>61216</c:v>
                </c:pt>
                <c:pt idx="1">
                  <c:v>71414</c:v>
                </c:pt>
                <c:pt idx="2">
                  <c:v>81514</c:v>
                </c:pt>
                <c:pt idx="3">
                  <c:v>95874</c:v>
                </c:pt>
                <c:pt idx="4">
                  <c:v>141931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lineChart>
        <c:grouping val="standard"/>
        <c:varyColors val="0"/>
        <c:ser>
          <c:idx val="2"/>
          <c:order val="1"/>
          <c:tx>
            <c:strRef>
              <c:f>'[2023-2024公报计算、画图.xlsx]投资1'!$C$1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'[2023-2024公报计算、画图.xlsx]投资1'!$A$4:$A$8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'[2023-2024公报计算、画图.xlsx]投资1'!$C$4:$C$8</c:f>
              <c:numCache>
                <c:formatCode>General</c:formatCode>
                <c:ptCount val="5"/>
                <c:pt idx="0">
                  <c:v>-22.9</c:v>
                </c:pt>
                <c:pt idx="1">
                  <c:v>16.7</c:v>
                </c:pt>
                <c:pt idx="2">
                  <c:v>14.1</c:v>
                </c:pt>
                <c:pt idx="3">
                  <c:v>17.6</c:v>
                </c:pt>
                <c:pt idx="4" c:formatCode="0.0_ ">
                  <c:v>48.0390929761979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9207094"/>
        <c:axId val="245955864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catAx>
        <c:axId val="31920709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245955864"/>
        <c:crosses val="autoZero"/>
        <c:auto val="1"/>
        <c:lblAlgn val="ctr"/>
        <c:lblOffset val="100"/>
        <c:noMultiLvlLbl val="0"/>
      </c:catAx>
      <c:valAx>
        <c:axId val="245955864"/>
        <c:scaling>
          <c:orientation val="minMax"/>
          <c:max val="50"/>
          <c:min val="-25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31920709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27325396688144"/>
          <c:y val="0.05266479788774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>
          <a:latin typeface="+mn-ea"/>
          <a:ea typeface="+mn-ea"/>
        </a:defRPr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455745473007277"/>
          <c:y val="0.131407156673114"/>
          <c:w val="0.935809781688949"/>
          <c:h val="0.75536750483559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'[2023-2024公报计算、画图.xlsx]投资3'!$B$1</c:f>
              <c:strCache>
                <c:ptCount val="1"/>
                <c:pt idx="0">
                  <c:v>第一产业（%）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'[2023-2024公报计算、画图.xlsx]投资3'!$A$4:$A$8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'[2023-2024公报计算、画图.xlsx]投资3'!$B$4:$B$8</c:f>
              <c:numCache>
                <c:formatCode>0.00_ </c:formatCode>
                <c:ptCount val="5"/>
                <c:pt idx="0">
                  <c:v>8.16903248991326</c:v>
                </c:pt>
                <c:pt idx="1">
                  <c:v>7.64135883720279</c:v>
                </c:pt>
                <c:pt idx="2">
                  <c:v>10.0706627082464</c:v>
                </c:pt>
                <c:pt idx="3">
                  <c:v>12.0752237311471</c:v>
                </c:pt>
                <c:pt idx="4">
                  <c:v>9.92876820426827</c:v>
                </c:pt>
              </c:numCache>
            </c:numRef>
          </c:val>
        </c:ser>
        <c:ser>
          <c:idx val="2"/>
          <c:order val="1"/>
          <c:tx>
            <c:strRef>
              <c:f>'[2023-2024公报计算、画图.xlsx]投资3'!$C$1</c:f>
              <c:strCache>
                <c:ptCount val="1"/>
                <c:pt idx="0">
                  <c:v>第二产业（%）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2"/>
              <c:layout>
                <c:manualLayout>
                  <c:x val="0.0793321580421031"/>
                  <c:y val="-0.0037069072037563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'[2023-2024公报计算、画图.xlsx]投资3'!$A$4:$A$8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'[2023-2024公报计算、画图.xlsx]投资3'!$C$4:$C$8</c:f>
              <c:numCache>
                <c:formatCode>0.00_ </c:formatCode>
                <c:ptCount val="5"/>
                <c:pt idx="0">
                  <c:v>5.49502605400284</c:v>
                </c:pt>
                <c:pt idx="1">
                  <c:v>13.1416809029042</c:v>
                </c:pt>
                <c:pt idx="2">
                  <c:v>16.9553696297569</c:v>
                </c:pt>
                <c:pt idx="3">
                  <c:v>69.9720466445543</c:v>
                </c:pt>
                <c:pt idx="4">
                  <c:v>74.2212765357815</c:v>
                </c:pt>
              </c:numCache>
            </c:numRef>
          </c:val>
        </c:ser>
        <c:ser>
          <c:idx val="3"/>
          <c:order val="2"/>
          <c:tx>
            <c:strRef>
              <c:f>'[2023-2024公报计算、画图.xlsx]投资3'!$D$1</c:f>
              <c:strCache>
                <c:ptCount val="1"/>
                <c:pt idx="0">
                  <c:v>第三产业（%）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'[2023-2024公报计算、画图.xlsx]投资3'!$A$4:$A$8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'[2023-2024公报计算、画图.xlsx]投资3'!$D$4:$D$8</c:f>
              <c:numCache>
                <c:formatCode>0.00_ </c:formatCode>
                <c:ptCount val="5"/>
                <c:pt idx="0">
                  <c:v>86.3359414560839</c:v>
                </c:pt>
                <c:pt idx="1">
                  <c:v>79.216960259893</c:v>
                </c:pt>
                <c:pt idx="2">
                  <c:v>72.9739676619967</c:v>
                </c:pt>
                <c:pt idx="3">
                  <c:v>17.9527296242986</c:v>
                </c:pt>
                <c:pt idx="4">
                  <c:v>15.8499552599503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1"/>
        <c:overlap val="100"/>
        <c:axId val="664496681"/>
        <c:axId val="115724773"/>
      </c:barChart>
      <c:catAx>
        <c:axId val="66449668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5724773"/>
        <c:crosses val="autoZero"/>
        <c:auto val="1"/>
        <c:lblAlgn val="ctr"/>
        <c:lblOffset val="100"/>
        <c:noMultiLvlLbl val="0"/>
      </c:catAx>
      <c:valAx>
        <c:axId val="115724773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out"/>
        <c:minorTickMark val="none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449668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45217883418223"/>
          <c:y val="0.00688150386035582"/>
          <c:w val="0.67719298245614"/>
          <c:h val="0.08157099697885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200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1691550588039"/>
          <c:y val="0.141857862339116"/>
          <c:w val="0.829276837100676"/>
          <c:h val="0.77232792389479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'[2023-2024公报计算、画图.xlsx]一般公共预算收入'!$B$1</c:f>
              <c:strCache>
                <c:ptCount val="1"/>
                <c:pt idx="0">
                  <c:v>一般公共预算收入（万元）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'[2023-2024公报计算、画图.xlsx]一般公共预算收入'!$A$4:$A$8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'[2023-2024公报计算、画图.xlsx]一般公共预算收入'!$B$4:$B$8</c:f>
              <c:numCache>
                <c:formatCode>General</c:formatCode>
                <c:ptCount val="5"/>
                <c:pt idx="0">
                  <c:v>8617</c:v>
                </c:pt>
                <c:pt idx="1">
                  <c:v>10738</c:v>
                </c:pt>
                <c:pt idx="2">
                  <c:v>11015</c:v>
                </c:pt>
                <c:pt idx="3">
                  <c:v>12787</c:v>
                </c:pt>
                <c:pt idx="4">
                  <c:v>25687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lineChart>
        <c:grouping val="standard"/>
        <c:varyColors val="0"/>
        <c:ser>
          <c:idx val="2"/>
          <c:order val="1"/>
          <c:tx>
            <c:strRef>
              <c:f>'[2023-2024公报计算、画图.xlsx]一般公共预算收入'!$C$1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dLbl>
              <c:idx val="4"/>
              <c:layout>
                <c:manualLayout>
                  <c:x val="-0.00147125396106836"/>
                  <c:y val="0.19229309035687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'[2023-2024公报计算、画图.xlsx]一般公共预算收入'!$A$4:$A$8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'[2023-2024公报计算、画图.xlsx]一般公共预算收入'!$C$4:$C$8</c:f>
              <c:numCache>
                <c:formatCode>0.00_ </c:formatCode>
                <c:ptCount val="5"/>
                <c:pt idx="0">
                  <c:v>9.82666326790722</c:v>
                </c:pt>
                <c:pt idx="1">
                  <c:v>24.6141348497157</c:v>
                </c:pt>
                <c:pt idx="2">
                  <c:v>2.57962376606444</c:v>
                </c:pt>
                <c:pt idx="3">
                  <c:v>16.0871538810713</c:v>
                </c:pt>
                <c:pt idx="4" c:formatCode="General">
                  <c:v>100.88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9207094"/>
        <c:axId val="245955864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catAx>
        <c:axId val="31920709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245955864"/>
        <c:crosses val="autoZero"/>
        <c:auto val="1"/>
        <c:lblAlgn val="ctr"/>
        <c:lblOffset val="100"/>
        <c:noMultiLvlLbl val="0"/>
      </c:catAx>
      <c:valAx>
        <c:axId val="245955864"/>
        <c:scaling>
          <c:orientation val="minMax"/>
          <c:max val="105"/>
          <c:min val="0"/>
        </c:scaling>
        <c:delete val="0"/>
        <c:axPos val="r"/>
        <c:numFmt formatCode="0.0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31920709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09262515631611"/>
          <c:y val="0.03268232447647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14A6A3-B111-429B-9525-7309F3BED8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28637</Words>
  <Characters>44805</Characters>
  <Lines>461</Lines>
  <Paragraphs>129</Paragraphs>
  <TotalTime>5</TotalTime>
  <ScaleCrop>false</ScaleCrop>
  <LinksUpToDate>false</LinksUpToDate>
  <CharactersWithSpaces>45571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2022-03-10T00:20:00Z</dcterms:created>
  <dc:creator>米家白开水</dc:creator>
  <cp:lastModifiedBy>lzh2373</cp:lastModifiedBy>
  <cp:lastPrinted>2023-05-04T01:33:00Z</cp:lastPrinted>
  <dcterms:modified xsi:type="dcterms:W3CDTF">2024-07-10T07:38:48Z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F4F4EE026A4E4D1FB2DBFE2107D8D2A9</vt:lpwstr>
  </property>
  <property fmtid="{D5CDD505-2E9C-101B-9397-08002B2CF9AE}" pid="4" name="commondata">
    <vt:lpwstr>eyJoZGlkIjoiNTkzMmY0Y2FiODFkYTA5MjA5NDRjZDk2OGU0NmQ1NWUifQ==</vt:lpwstr>
  </property>
</Properties>
</file>